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default" w:ascii="Times New Roman" w:hAnsi="Times New Roman"/>
          <w:color w:val="2F5597" w:themeColor="accent1" w:themeShade="BF"/>
        </w:rPr>
      </w:pPr>
      <w:bookmarkStart w:id="0" w:name="_Hlk84513507"/>
      <w:r>
        <w:rPr>
          <w:rFonts w:hint="default" w:ascii="Times New Roman" w:hAnsi="Times New Roman"/>
          <w:color w:val="2F5597" w:themeColor="accent1" w:themeShade="BF"/>
        </w:rPr>
        <w:drawing>
          <wp:anchor distT="0" distB="0" distL="114300" distR="114300" simplePos="0" relativeHeight="251660288" behindDoc="0" locked="0" layoutInCell="1" allowOverlap="1">
            <wp:simplePos x="0" y="0"/>
            <wp:positionH relativeFrom="column">
              <wp:posOffset>-321310</wp:posOffset>
            </wp:positionH>
            <wp:positionV relativeFrom="paragraph">
              <wp:posOffset>26035</wp:posOffset>
            </wp:positionV>
            <wp:extent cx="1636395" cy="886460"/>
            <wp:effectExtent l="0" t="0" r="14605"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636395" cy="886460"/>
                    </a:xfrm>
                    <a:prstGeom prst="rect">
                      <a:avLst/>
                    </a:prstGeom>
                    <a:noFill/>
                    <a:ln>
                      <a:noFill/>
                    </a:ln>
                  </pic:spPr>
                </pic:pic>
              </a:graphicData>
            </a:graphic>
          </wp:anchor>
        </w:drawing>
      </w:r>
    </w:p>
    <w:p>
      <w:pPr>
        <w:pStyle w:val="2"/>
        <w:spacing w:line="360" w:lineRule="auto"/>
        <w:rPr>
          <w:rFonts w:hint="default" w:ascii="Times New Roman" w:hAnsi="Times New Roman"/>
          <w:color w:val="2F5597" w:themeColor="accent1" w:themeShade="BF"/>
        </w:rPr>
      </w:pPr>
    </w:p>
    <w:p>
      <w:pPr>
        <w:spacing w:line="360" w:lineRule="auto"/>
        <w:rPr>
          <w:rFonts w:ascii="Times New Roman" w:hAnsi="Times New Roman" w:eastAsia="黑体" w:cs="黑体"/>
          <w:b/>
          <w:bCs/>
          <w:color w:val="2F5597" w:themeColor="accent1" w:themeShade="BF"/>
          <w:sz w:val="52"/>
          <w:szCs w:val="52"/>
        </w:rPr>
      </w:pPr>
      <w:r>
        <w:rPr>
          <w:rFonts w:hint="eastAsia" w:ascii="Times New Roman" w:hAnsi="Times New Roman" w:eastAsia="黑体" w:cs="黑体"/>
          <w:b/>
          <w:bCs/>
          <w:color w:val="2F5597" w:themeColor="accent1" w:themeShade="BF"/>
          <w:sz w:val="52"/>
          <w:szCs w:val="52"/>
          <w:lang w:eastAsia="zh-Hans"/>
        </w:rPr>
        <w:t>江门农村商业</w:t>
      </w:r>
      <w:r>
        <w:rPr>
          <w:rFonts w:hint="eastAsia" w:ascii="Times New Roman" w:hAnsi="Times New Roman" w:eastAsia="黑体" w:cs="黑体"/>
          <w:b/>
          <w:bCs/>
          <w:color w:val="2F5597" w:themeColor="accent1" w:themeShade="BF"/>
          <w:sz w:val="52"/>
          <w:szCs w:val="52"/>
        </w:rPr>
        <w:t>银行股份有限公司</w:t>
      </w:r>
    </w:p>
    <w:p>
      <w:pPr>
        <w:spacing w:line="360" w:lineRule="auto"/>
        <w:rPr>
          <w:rFonts w:ascii="Times New Roman" w:hAnsi="Times New Roman" w:eastAsia="黑体" w:cs="Times New Roman"/>
          <w:b/>
          <w:bCs/>
          <w:color w:val="2F5597" w:themeColor="accent1" w:themeShade="BF"/>
          <w:sz w:val="52"/>
          <w:szCs w:val="52"/>
        </w:rPr>
      </w:pPr>
      <w:r>
        <w:rPr>
          <w:rFonts w:ascii="Times New Roman" w:hAnsi="Times New Roman" w:eastAsia="黑体" w:cs="Times New Roman"/>
          <w:b/>
          <w:bCs/>
          <w:color w:val="2F5597" w:themeColor="accent1" w:themeShade="BF"/>
          <w:sz w:val="52"/>
          <w:szCs w:val="52"/>
        </w:rPr>
        <w:t>环境信息披露报告</w:t>
      </w:r>
    </w:p>
    <w:p>
      <w:pPr>
        <w:spacing w:line="360" w:lineRule="auto"/>
        <w:rPr>
          <w:rFonts w:ascii="Times New Roman" w:hAnsi="Times New Roman" w:eastAsia="黑体" w:cs="Times New Roman"/>
        </w:rPr>
      </w:pPr>
      <w:r>
        <w:rPr>
          <w:rFonts w:ascii="Times New Roman" w:hAnsi="Times New Roman" w:eastAsia="黑体" w:cs="Times New Roman"/>
          <w:b/>
          <w:bCs/>
          <w:color w:val="2F5597" w:themeColor="accent1" w:themeShade="BF"/>
          <w:sz w:val="52"/>
          <w:szCs w:val="52"/>
        </w:rPr>
        <w:t>（2022</w:t>
      </w:r>
      <w:r>
        <w:rPr>
          <w:rFonts w:hint="eastAsia" w:ascii="Times New Roman" w:hAnsi="Times New Roman" w:eastAsia="黑体" w:cs="Times New Roman"/>
          <w:b/>
          <w:bCs/>
          <w:color w:val="2F5597" w:themeColor="accent1" w:themeShade="BF"/>
          <w:sz w:val="52"/>
          <w:szCs w:val="52"/>
        </w:rPr>
        <w:t>年度</w:t>
      </w:r>
      <w:r>
        <w:rPr>
          <w:rFonts w:ascii="Times New Roman" w:hAnsi="Times New Roman" w:eastAsia="黑体" w:cs="Times New Roman"/>
          <w:b/>
          <w:bCs/>
          <w:color w:val="2F5597" w:themeColor="accent1" w:themeShade="BF"/>
          <w:sz w:val="52"/>
          <w:szCs w:val="52"/>
        </w:rPr>
        <w:t>）</w:t>
      </w:r>
      <w:bookmarkEnd w:id="0"/>
    </w:p>
    <w:p>
      <w:pPr>
        <w:widowControl/>
        <w:spacing w:line="360" w:lineRule="auto"/>
        <w:rPr>
          <w:rFonts w:ascii="Times New Roman" w:hAnsi="Times New Roman" w:eastAsia="PingFang SC" w:cs="PingFang SC"/>
          <w:color w:val="191919"/>
          <w:kern w:val="0"/>
          <w:sz w:val="32"/>
          <w:szCs w:val="32"/>
          <w:lang w:bidi="ar"/>
        </w:rPr>
      </w:pPr>
      <w:r>
        <w:rPr>
          <w:rFonts w:ascii="Times New Roman" w:hAnsi="Times New Roman" w:eastAsia="PingFang SC" w:cs="PingFang SC"/>
          <w:color w:val="191919"/>
          <w:kern w:val="0"/>
          <w:sz w:val="32"/>
          <w:szCs w:val="32"/>
          <w:lang w:bidi="ar"/>
        </w:rPr>
        <w:drawing>
          <wp:inline distT="0" distB="0" distL="114300" distR="114300">
            <wp:extent cx="5587365" cy="3420110"/>
            <wp:effectExtent l="0" t="0" r="635" b="889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a:stretch>
                      <a:fillRect/>
                    </a:stretch>
                  </pic:blipFill>
                  <pic:spPr>
                    <a:xfrm>
                      <a:off x="0" y="0"/>
                      <a:ext cx="5587365" cy="3420110"/>
                    </a:xfrm>
                    <a:prstGeom prst="rect">
                      <a:avLst/>
                    </a:prstGeom>
                    <a:noFill/>
                    <a:ln w="9525">
                      <a:noFill/>
                    </a:ln>
                  </pic:spPr>
                </pic:pic>
              </a:graphicData>
            </a:graphic>
          </wp:inline>
        </w:drawing>
      </w:r>
    </w:p>
    <w:p>
      <w:pPr>
        <w:widowControl/>
        <w:spacing w:line="360" w:lineRule="auto"/>
        <w:rPr>
          <w:rFonts w:ascii="Times New Roman" w:hAnsi="Times New Roman" w:eastAsia="PingFang SC" w:cs="PingFang SC"/>
          <w:color w:val="191919"/>
          <w:kern w:val="0"/>
          <w:sz w:val="32"/>
          <w:szCs w:val="32"/>
          <w:lang w:bidi="ar"/>
        </w:rPr>
      </w:pPr>
    </w:p>
    <w:p>
      <w:pPr>
        <w:spacing w:line="360" w:lineRule="auto"/>
        <w:rPr>
          <w:rFonts w:ascii="Times New Roman" w:hAnsi="Times New Roman" w:eastAsia="黑体" w:cs="Times New Roman"/>
        </w:rPr>
      </w:pPr>
      <w:r>
        <w:rPr>
          <w:rFonts w:ascii="Times New Roman" w:hAnsi="Times New Roman"/>
        </w:rPr>
        <w:drawing>
          <wp:inline distT="0" distB="0" distL="114300" distR="114300">
            <wp:extent cx="1149985" cy="1049655"/>
            <wp:effectExtent l="0" t="0" r="18415" b="171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1149985" cy="1049655"/>
                    </a:xfrm>
                    <a:prstGeom prst="rect">
                      <a:avLst/>
                    </a:prstGeom>
                    <a:noFill/>
                    <a:ln>
                      <a:noFill/>
                    </a:ln>
                  </pic:spPr>
                </pic:pic>
              </a:graphicData>
            </a:graphic>
          </wp:inline>
        </w:drawing>
      </w:r>
      <w:r>
        <w:rPr>
          <w:rFonts w:ascii="Times New Roman" w:hAnsi="Times New Roman"/>
        </w:rPr>
        <w:t xml:space="preserve">   </w:t>
      </w:r>
      <w:r>
        <w:rPr>
          <w:rFonts w:ascii="Times New Roman" w:hAnsi="Times New Roman"/>
        </w:rPr>
        <w:drawing>
          <wp:inline distT="0" distB="0" distL="114300" distR="114300">
            <wp:extent cx="1128395" cy="1088390"/>
            <wp:effectExtent l="0" t="0" r="1460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1128395" cy="1088390"/>
                    </a:xfrm>
                    <a:prstGeom prst="rect">
                      <a:avLst/>
                    </a:prstGeom>
                    <a:noFill/>
                    <a:ln>
                      <a:noFill/>
                    </a:ln>
                  </pic:spPr>
                </pic:pic>
              </a:graphicData>
            </a:graphic>
          </wp:inline>
        </w:drawing>
      </w:r>
    </w:p>
    <w:p>
      <w:pPr>
        <w:spacing w:line="360" w:lineRule="auto"/>
        <w:rPr>
          <w:rFonts w:ascii="Times New Roman" w:hAnsi="Times New Roman" w:eastAsia="黑体" w:cs="Times New Roman"/>
          <w:color w:val="2F5597" w:themeColor="accent1" w:themeShade="BF"/>
          <w:lang w:eastAsia="zh-Hans"/>
        </w:rPr>
      </w:pPr>
      <w:r>
        <w:rPr>
          <w:rFonts w:hint="eastAsia" w:ascii="Times New Roman" w:hAnsi="Times New Roman" w:eastAsia="黑体" w:cs="Times New Roman"/>
          <w:color w:val="2F5597" w:themeColor="accent1" w:themeShade="BF"/>
          <w:lang w:eastAsia="zh-Hans"/>
        </w:rPr>
        <w:t>江门农商银行微生活</w:t>
      </w:r>
      <w:r>
        <w:rPr>
          <w:rFonts w:ascii="Times New Roman" w:hAnsi="Times New Roman" w:eastAsia="黑体" w:cs="Times New Roman"/>
          <w:color w:val="2F5597" w:themeColor="accent1" w:themeShade="BF"/>
          <w:lang w:eastAsia="zh-Hans"/>
        </w:rPr>
        <w:t xml:space="preserve">     </w:t>
      </w:r>
      <w:r>
        <w:rPr>
          <w:rFonts w:hint="eastAsia" w:ascii="Times New Roman" w:hAnsi="Times New Roman" w:eastAsia="黑体" w:cs="Times New Roman"/>
          <w:color w:val="2F5597" w:themeColor="accent1" w:themeShade="BF"/>
          <w:lang w:eastAsia="zh-Hans"/>
        </w:rPr>
        <w:t>江门农商银行微金融</w:t>
      </w:r>
    </w:p>
    <w:p>
      <w:pPr>
        <w:spacing w:line="360" w:lineRule="auto"/>
        <w:rPr>
          <w:rFonts w:ascii="Times New Roman" w:hAnsi="Times New Roman" w:eastAsia="黑体" w:cs="Times New Roman"/>
        </w:rPr>
      </w:pPr>
    </w:p>
    <w:p>
      <w:pPr>
        <w:spacing w:line="360" w:lineRule="auto"/>
        <w:rPr>
          <w:rFonts w:ascii="Times New Roman" w:hAnsi="Times New Roman" w:eastAsia="黑体" w:cs="黑体"/>
          <w:b/>
          <w:bCs/>
          <w:color w:val="000000"/>
          <w:sz w:val="32"/>
          <w:szCs w:val="32"/>
          <w:lang w:bidi="ar"/>
        </w:rPr>
        <w:sectPr>
          <w:headerReference r:id="rId4" w:type="default"/>
          <w:pgSz w:w="11906" w:h="16838"/>
          <w:pgMar w:top="1440" w:right="1800" w:bottom="1440" w:left="1800" w:header="851" w:footer="964" w:gutter="0"/>
          <w:pgBorders>
            <w:top w:val="none" w:sz="0" w:space="0"/>
            <w:left w:val="none" w:sz="0" w:space="0"/>
            <w:bottom w:val="none" w:sz="0" w:space="0"/>
            <w:right w:val="none" w:sz="0" w:space="0"/>
          </w:pgBorders>
          <w:pgNumType w:fmt="numberInDash" w:start="1"/>
          <w:cols w:space="425" w:num="1"/>
          <w:docGrid w:type="lines" w:linePitch="312" w:charSpace="0"/>
        </w:sectPr>
      </w:pPr>
    </w:p>
    <w:p>
      <w:pPr>
        <w:spacing w:line="360" w:lineRule="auto"/>
        <w:rPr>
          <w:rFonts w:ascii="Times New Roman" w:hAnsi="Times New Roman" w:eastAsia="仿宋_GB2312" w:cs="Times New Roman"/>
          <w:color w:val="0070C0"/>
          <w:sz w:val="32"/>
          <w:szCs w:val="32"/>
          <w:u w:val="single"/>
        </w:rPr>
      </w:pPr>
    </w:p>
    <w:p>
      <w:pPr>
        <w:spacing w:line="360" w:lineRule="auto"/>
        <w:ind w:firstLine="480" w:firstLineChars="200"/>
        <w:rPr>
          <w:rFonts w:ascii="Times New Roman" w:hAnsi="Times New Roman" w:eastAsia="楷体" w:cs="宋体"/>
          <w:sz w:val="24"/>
          <w:szCs w:val="24"/>
          <w:shd w:val="clear" w:color="auto" w:fill="FFFFFF"/>
        </w:rPr>
      </w:pPr>
    </w:p>
    <w:p>
      <w:pPr>
        <w:spacing w:line="360" w:lineRule="auto"/>
        <w:rPr>
          <w:rFonts w:ascii="Times New Roman" w:hAnsi="Times New Roman" w:eastAsia="楷体" w:cs="宋体"/>
          <w:sz w:val="24"/>
          <w:szCs w:val="24"/>
          <w:shd w:val="clear" w:color="auto" w:fill="FFFFFF"/>
        </w:rPr>
      </w:pP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报告期间：</w:t>
      </w:r>
      <w:r>
        <w:rPr>
          <w:rFonts w:ascii="Times New Roman" w:hAnsi="Times New Roman" w:eastAsia="宋体" w:cs="Times New Roman"/>
          <w:color w:val="385723" w:themeColor="accent6" w:themeShade="80"/>
          <w:sz w:val="24"/>
          <w:szCs w:val="24"/>
          <w:shd w:val="clear" w:color="auto" w:fill="FFFFFF"/>
        </w:rPr>
        <w:t>2022</w:t>
      </w:r>
      <w:r>
        <w:rPr>
          <w:rFonts w:ascii="Times New Roman" w:hAnsi="Times New Roman" w:eastAsia="宋体" w:cs="Times New Roman"/>
          <w:color w:val="000000"/>
          <w:sz w:val="24"/>
          <w:szCs w:val="24"/>
          <w:shd w:val="clear" w:color="auto" w:fill="FFFFFF"/>
        </w:rPr>
        <w:t>年1月1日至2022年12月31日</w:t>
      </w: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报告周期：</w:t>
      </w:r>
      <w:r>
        <w:rPr>
          <w:rFonts w:ascii="Times New Roman" w:hAnsi="Times New Roman" w:eastAsia="宋体" w:cs="Times New Roman"/>
          <w:color w:val="000000"/>
          <w:sz w:val="24"/>
          <w:szCs w:val="24"/>
          <w:shd w:val="clear" w:color="auto" w:fill="FFFFFF"/>
        </w:rPr>
        <w:t>年度报告</w:t>
      </w: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报告范围：</w:t>
      </w:r>
      <w:r>
        <w:rPr>
          <w:rFonts w:ascii="Times New Roman" w:hAnsi="Times New Roman" w:eastAsia="宋体" w:cs="Times New Roman"/>
          <w:color w:val="000000"/>
          <w:sz w:val="24"/>
          <w:szCs w:val="24"/>
          <w:shd w:val="clear" w:color="auto" w:fill="FFFFFF"/>
        </w:rPr>
        <w:t>本报告的披露范围包括</w:t>
      </w:r>
      <w:r>
        <w:rPr>
          <w:rFonts w:hint="eastAsia" w:ascii="Times New Roman" w:hAnsi="Times New Roman" w:eastAsia="宋体" w:cs="Times New Roman"/>
          <w:color w:val="000000"/>
          <w:sz w:val="24"/>
          <w:szCs w:val="24"/>
          <w:shd w:val="clear" w:color="auto" w:fill="FFFFFF"/>
          <w:lang w:eastAsia="zh-Hans"/>
        </w:rPr>
        <w:t>江门农村商业</w:t>
      </w:r>
      <w:r>
        <w:rPr>
          <w:rFonts w:hint="eastAsia" w:ascii="Times New Roman" w:hAnsi="Times New Roman" w:eastAsia="宋体" w:cs="Times New Roman"/>
          <w:color w:val="000000"/>
          <w:sz w:val="24"/>
          <w:szCs w:val="24"/>
          <w:shd w:val="clear" w:color="auto" w:fill="FFFFFF"/>
        </w:rPr>
        <w:t>银行股份有限公司总行</w:t>
      </w:r>
      <w:r>
        <w:rPr>
          <w:rFonts w:ascii="Times New Roman" w:hAnsi="Times New Roman" w:eastAsia="宋体" w:cs="Times New Roman"/>
          <w:color w:val="000000"/>
          <w:sz w:val="24"/>
          <w:szCs w:val="24"/>
          <w:shd w:val="clear" w:color="auto" w:fill="FFFFFF"/>
        </w:rPr>
        <w:t>及</w:t>
      </w:r>
      <w:r>
        <w:rPr>
          <w:rFonts w:hint="eastAsia" w:ascii="Times New Roman" w:hAnsi="Times New Roman" w:eastAsia="宋体" w:cs="Times New Roman"/>
          <w:color w:val="000000"/>
          <w:sz w:val="24"/>
          <w:szCs w:val="24"/>
          <w:shd w:val="clear" w:color="auto" w:fill="FFFFFF"/>
        </w:rPr>
        <w:t>辖内</w:t>
      </w:r>
      <w:r>
        <w:rPr>
          <w:rFonts w:ascii="Times New Roman" w:hAnsi="Times New Roman" w:eastAsia="宋体" w:cs="Times New Roman"/>
          <w:color w:val="000000"/>
          <w:sz w:val="24"/>
          <w:szCs w:val="24"/>
          <w:shd w:val="clear" w:color="auto" w:fill="FFFFFF"/>
        </w:rPr>
        <w:t>分支机构环境信息相关数据。</w:t>
      </w: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编制依据：</w:t>
      </w:r>
      <w:r>
        <w:rPr>
          <w:rFonts w:ascii="Times New Roman" w:hAnsi="Times New Roman" w:eastAsia="宋体" w:cs="Times New Roman"/>
          <w:color w:val="000000"/>
          <w:sz w:val="24"/>
          <w:szCs w:val="24"/>
          <w:shd w:val="clear" w:color="auto" w:fill="FFFFFF"/>
        </w:rPr>
        <w:t>本报告根据中华人民共和国金融行业标准《金融机构环境信息披露指南》（JR/T 0227-2021）的披露要求进行编制，并参考《气候相关财务信息披露工作组（TCFD）建议报告》《金融机构碳核算技术指南（试行）》相关披露要求及建议进行披露。</w:t>
      </w: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数据说明：</w:t>
      </w:r>
      <w:r>
        <w:rPr>
          <w:rFonts w:ascii="Times New Roman" w:hAnsi="Times New Roman" w:eastAsia="宋体" w:cs="Times New Roman"/>
          <w:color w:val="000000"/>
          <w:sz w:val="24"/>
          <w:szCs w:val="24"/>
          <w:shd w:val="clear" w:color="auto" w:fill="FFFFFF"/>
        </w:rPr>
        <w:t>本报告中的财务数据以2022年1月1日至2022年12月31日期间内的数据为主，部分包括以前年度数据。数据主要来源于本行内部文件和相关统计资料。本报告中“绿色信贷”如无特别说明，均指“满足中国人民银行印发的《绿色贷款专项统计制度》的绿色信贷”。所涉及货币金额均以人民币计量。</w:t>
      </w: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指代说明：</w:t>
      </w:r>
      <w:r>
        <w:rPr>
          <w:rFonts w:ascii="Times New Roman" w:hAnsi="Times New Roman" w:eastAsia="宋体" w:cs="Times New Roman"/>
          <w:color w:val="000000"/>
          <w:sz w:val="24"/>
          <w:szCs w:val="24"/>
          <w:shd w:val="clear" w:color="auto" w:fill="FFFFFF"/>
        </w:rPr>
        <w:t>为便于阅读，本报</w:t>
      </w:r>
      <w:r>
        <w:rPr>
          <w:rFonts w:ascii="Times New Roman" w:hAnsi="Times New Roman" w:eastAsia="宋体" w:cs="Times New Roman"/>
          <w:sz w:val="24"/>
          <w:szCs w:val="24"/>
          <w:shd w:val="clear" w:color="auto" w:fill="FFFFFF"/>
        </w:rPr>
        <w:t>告“</w:t>
      </w:r>
      <w:r>
        <w:rPr>
          <w:rFonts w:hint="eastAsia" w:ascii="Times New Roman" w:hAnsi="Times New Roman" w:eastAsia="宋体" w:cs="Times New Roman"/>
          <w:sz w:val="24"/>
          <w:szCs w:val="24"/>
          <w:shd w:val="clear" w:color="auto" w:fill="FFFFFF"/>
          <w:lang w:eastAsia="zh-Hans"/>
        </w:rPr>
        <w:t>江门农村商业</w:t>
      </w:r>
      <w:r>
        <w:rPr>
          <w:rFonts w:hint="eastAsia" w:ascii="Times New Roman" w:hAnsi="Times New Roman" w:eastAsia="宋体" w:cs="Times New Roman"/>
          <w:color w:val="000000"/>
          <w:sz w:val="24"/>
          <w:szCs w:val="24"/>
          <w:shd w:val="clear" w:color="auto" w:fill="FFFFFF"/>
        </w:rPr>
        <w:t>银行股份有限公司</w:t>
      </w:r>
      <w:r>
        <w:rPr>
          <w:rFonts w:ascii="Times New Roman" w:hAnsi="Times New Roman" w:eastAsia="宋体" w:cs="Times New Roman"/>
          <w:color w:val="000000"/>
          <w:sz w:val="24"/>
          <w:szCs w:val="24"/>
          <w:shd w:val="clear" w:color="auto" w:fill="FFFFFF"/>
        </w:rPr>
        <w:t>”简称“</w:t>
      </w:r>
      <w:r>
        <w:rPr>
          <w:rFonts w:hint="eastAsia" w:ascii="Times New Roman" w:hAnsi="Times New Roman" w:eastAsia="宋体" w:cs="Times New Roman"/>
          <w:color w:val="000000"/>
          <w:sz w:val="24"/>
          <w:szCs w:val="24"/>
          <w:shd w:val="clear" w:color="auto" w:fill="FFFFFF"/>
          <w:lang w:eastAsia="zh-Hans"/>
        </w:rPr>
        <w:t>本</w:t>
      </w:r>
      <w:r>
        <w:rPr>
          <w:rFonts w:ascii="Times New Roman" w:hAnsi="Times New Roman" w:eastAsia="宋体" w:cs="Times New Roman"/>
          <w:color w:val="000000"/>
          <w:sz w:val="24"/>
          <w:szCs w:val="24"/>
          <w:shd w:val="clear" w:color="auto" w:fill="FFFFFF"/>
        </w:rPr>
        <w:t>行”</w:t>
      </w:r>
      <w:r>
        <w:rPr>
          <w:rFonts w:hint="eastAsia" w:ascii="Times New Roman" w:hAnsi="Times New Roman" w:eastAsia="宋体" w:cs="Times New Roman"/>
          <w:color w:val="000000"/>
          <w:sz w:val="24"/>
          <w:szCs w:val="24"/>
          <w:shd w:val="clear" w:color="auto" w:fill="FFFFFF"/>
        </w:rPr>
        <w:t>或“江门农商银行”</w:t>
      </w:r>
      <w:r>
        <w:rPr>
          <w:rFonts w:ascii="Times New Roman" w:hAnsi="Times New Roman" w:eastAsia="宋体" w:cs="Times New Roman"/>
          <w:color w:val="000000"/>
          <w:sz w:val="24"/>
          <w:szCs w:val="24"/>
          <w:shd w:val="clear" w:color="auto" w:fill="FFFFFF"/>
        </w:rPr>
        <w:t>。</w:t>
      </w:r>
    </w:p>
    <w:p>
      <w:pPr>
        <w:numPr>
          <w:ilvl w:val="0"/>
          <w:numId w:val="1"/>
        </w:numPr>
        <w:spacing w:line="360" w:lineRule="auto"/>
        <w:ind w:left="420"/>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宋体" w:cs="Times New Roman"/>
          <w:b/>
          <w:bCs/>
          <w:color w:val="2E75B6" w:themeColor="accent5" w:themeShade="BF"/>
          <w:sz w:val="24"/>
          <w:szCs w:val="24"/>
          <w:shd w:val="clear" w:color="auto" w:fill="FFFFFF"/>
        </w:rPr>
        <w:t>联系方式：</w:t>
      </w:r>
      <w:r>
        <w:rPr>
          <w:rFonts w:ascii="Times New Roman" w:hAnsi="Times New Roman" w:eastAsia="宋体" w:cs="Times New Roman"/>
          <w:color w:val="000000"/>
          <w:sz w:val="24"/>
          <w:szCs w:val="24"/>
          <w:shd w:val="clear" w:color="auto" w:fill="FFFFFF"/>
        </w:rPr>
        <w:t>（+86）0750-6339115</w:t>
      </w:r>
    </w:p>
    <w:p>
      <w:pPr>
        <w:numPr>
          <w:ilvl w:val="0"/>
          <w:numId w:val="1"/>
        </w:numPr>
        <w:spacing w:line="360" w:lineRule="auto"/>
        <w:ind w:left="420"/>
        <w:rPr>
          <w:rFonts w:ascii="Times New Roman" w:hAnsi="Times New Roman" w:eastAsia="楷体" w:cs="Times New Roman"/>
          <w:sz w:val="24"/>
          <w:szCs w:val="24"/>
          <w:shd w:val="clear" w:color="auto" w:fill="FFFFFF"/>
        </w:rPr>
      </w:pPr>
      <w:r>
        <w:rPr>
          <w:rFonts w:ascii="Times New Roman" w:hAnsi="Times New Roman" w:eastAsia="宋体" w:cs="Times New Roman"/>
          <w:b/>
          <w:bCs/>
          <w:color w:val="2E75B6" w:themeColor="accent5" w:themeShade="BF"/>
          <w:sz w:val="24"/>
          <w:szCs w:val="24"/>
          <w:shd w:val="clear" w:color="auto" w:fill="FFFFFF"/>
        </w:rPr>
        <w:t>通讯地址：</w:t>
      </w:r>
      <w:r>
        <w:rPr>
          <w:rFonts w:hint="eastAsia" w:ascii="Times New Roman" w:hAnsi="Times New Roman" w:eastAsia="宋体" w:cs="Times New Roman"/>
          <w:sz w:val="24"/>
          <w:szCs w:val="24"/>
          <w:shd w:val="clear" w:color="auto" w:fill="FFFFFF"/>
          <w:lang w:eastAsia="zh-Hans"/>
        </w:rPr>
        <w:t>江门市新会区会城街道中心南路</w:t>
      </w:r>
      <w:r>
        <w:rPr>
          <w:rFonts w:ascii="Times New Roman" w:hAnsi="Times New Roman" w:eastAsia="宋体" w:cs="Times New Roman"/>
          <w:sz w:val="24"/>
          <w:szCs w:val="24"/>
          <w:shd w:val="clear" w:color="auto" w:fill="FFFFFF"/>
          <w:lang w:eastAsia="zh-Hans"/>
        </w:rPr>
        <w:t>30</w:t>
      </w:r>
      <w:r>
        <w:rPr>
          <w:rFonts w:hint="eastAsia" w:ascii="Times New Roman" w:hAnsi="Times New Roman" w:eastAsia="宋体" w:cs="Times New Roman"/>
          <w:sz w:val="24"/>
          <w:szCs w:val="24"/>
          <w:shd w:val="clear" w:color="auto" w:fill="FFFFFF"/>
          <w:lang w:eastAsia="zh-Hans"/>
        </w:rPr>
        <w:t>号</w:t>
      </w:r>
      <w:r>
        <w:rPr>
          <w:rFonts w:ascii="Times New Roman" w:hAnsi="Times New Roman" w:eastAsia="宋体" w:cs="Times New Roman"/>
          <w:color w:val="000000"/>
          <w:sz w:val="24"/>
          <w:szCs w:val="24"/>
          <w:shd w:val="clear" w:color="auto" w:fill="FFFFFF"/>
        </w:rPr>
        <w:t>。</w:t>
      </w:r>
    </w:p>
    <w:p>
      <w:pPr>
        <w:widowControl/>
        <w:spacing w:line="360" w:lineRule="auto"/>
        <w:rPr>
          <w:rFonts w:ascii="Times New Roman" w:hAnsi="Times New Roman" w:eastAsia="楷体" w:cs="宋体"/>
          <w:sz w:val="24"/>
          <w:szCs w:val="24"/>
        </w:rPr>
        <w:sectPr>
          <w:headerReference r:id="rId5" w:type="default"/>
          <w:type w:val="continuous"/>
          <w:pgSz w:w="11906" w:h="16838"/>
          <w:pgMar w:top="1440" w:right="1800" w:bottom="1440" w:left="1800" w:header="851" w:footer="964"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ascii="Times New Roman" w:hAnsi="Times New Roman" w:eastAsia="楷体" w:cs="宋体"/>
          <w:sz w:val="24"/>
          <w:szCs w:val="24"/>
        </w:rPr>
        <w:br w:type="page"/>
      </w:r>
    </w:p>
    <w:p>
      <w:pPr>
        <w:spacing w:line="360" w:lineRule="auto"/>
        <w:rPr>
          <w:rFonts w:ascii="Times New Roman" w:hAnsi="Times New Roman" w:eastAsia="微软雅黑" w:cs="微软雅黑"/>
          <w:b/>
          <w:bCs/>
          <w:color w:val="385723" w:themeColor="accent6" w:themeShade="80"/>
          <w:sz w:val="28"/>
          <w:szCs w:val="28"/>
          <w:shd w:val="clear" w:color="auto" w:fill="FFFFFF"/>
        </w:rPr>
      </w:pPr>
    </w:p>
    <w:p>
      <w:pPr>
        <w:spacing w:line="360" w:lineRule="auto"/>
        <w:jc w:val="center"/>
        <w:rPr>
          <w:rFonts w:ascii="Times New Roman" w:hAnsi="Times New Roman" w:eastAsia="黑体" w:cs="微软雅黑"/>
          <w:b/>
          <w:bCs/>
          <w:color w:val="2E75B6" w:themeColor="accent5" w:themeShade="BF"/>
          <w:sz w:val="30"/>
          <w:szCs w:val="30"/>
          <w:shd w:val="clear" w:color="auto" w:fill="FFFFFF"/>
        </w:rPr>
      </w:pPr>
      <w:bookmarkStart w:id="1" w:name="_Toc114058208"/>
      <w:bookmarkStart w:id="2" w:name="_Toc114058277"/>
      <w:bookmarkStart w:id="3" w:name="_Toc126394980"/>
      <w:r>
        <w:rPr>
          <w:rFonts w:hint="eastAsia" w:ascii="Times New Roman" w:hAnsi="Times New Roman" w:eastAsia="黑体" w:cs="微软雅黑"/>
          <w:b/>
          <w:bCs/>
          <w:color w:val="2E75B6" w:themeColor="accent5" w:themeShade="BF"/>
          <w:sz w:val="30"/>
          <w:szCs w:val="30"/>
          <w:shd w:val="clear" w:color="auto" w:fill="FFFFFF"/>
        </w:rPr>
        <w:t>目</w:t>
      </w:r>
      <w:r>
        <w:rPr>
          <w:rFonts w:ascii="Times New Roman" w:hAnsi="Times New Roman" w:eastAsia="黑体" w:cs="微软雅黑"/>
          <w:b/>
          <w:bCs/>
          <w:color w:val="2E75B6" w:themeColor="accent5" w:themeShade="BF"/>
          <w:sz w:val="30"/>
          <w:szCs w:val="30"/>
          <w:shd w:val="clear" w:color="auto" w:fill="FFFFFF"/>
        </w:rPr>
        <w:t xml:space="preserve">  </w:t>
      </w:r>
      <w:r>
        <w:rPr>
          <w:rFonts w:hint="eastAsia" w:ascii="Times New Roman" w:hAnsi="Times New Roman" w:eastAsia="黑体" w:cs="微软雅黑"/>
          <w:b/>
          <w:bCs/>
          <w:color w:val="2E75B6" w:themeColor="accent5" w:themeShade="BF"/>
          <w:sz w:val="30"/>
          <w:szCs w:val="30"/>
          <w:shd w:val="clear" w:color="auto" w:fill="FFFFFF"/>
        </w:rPr>
        <w:t>录</w:t>
      </w:r>
      <w:bookmarkEnd w:id="1"/>
      <w:bookmarkEnd w:id="2"/>
      <w:bookmarkEnd w:id="3"/>
    </w:p>
    <w:p>
      <w:pPr>
        <w:spacing w:line="360" w:lineRule="auto"/>
        <w:rPr>
          <w:rFonts w:ascii="Times New Roman" w:hAnsi="Times New Roman" w:eastAsia="黑体" w:cs="微软雅黑"/>
          <w:b/>
          <w:bCs/>
          <w:sz w:val="24"/>
          <w:szCs w:val="24"/>
          <w:shd w:val="clear" w:color="auto" w:fill="FFFFFF"/>
        </w:rPr>
      </w:pP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\u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_Toc103 </w:instrText>
      </w:r>
      <w:r>
        <w:rPr>
          <w:rFonts w:hint="eastAsia" w:ascii="宋体" w:hAnsi="宋体" w:eastAsia="宋体" w:cs="宋体"/>
          <w:b/>
          <w:bCs/>
          <w:sz w:val="24"/>
          <w:szCs w:val="24"/>
        </w:rPr>
        <w:fldChar w:fldCharType="separate"/>
      </w:r>
      <w:r>
        <w:rPr>
          <w:rFonts w:hint="eastAsia" w:ascii="宋体" w:hAnsi="宋体" w:eastAsia="宋体" w:cs="宋体"/>
          <w:b/>
          <w:bCs/>
          <w:color w:val="044A91" w:themeColor="hyperlink" w:themeShade="BF"/>
          <w:sz w:val="24"/>
          <w:szCs w:val="24"/>
        </w:rPr>
        <w:t>第一部分 年度概况</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_Toc19306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环境相关目标愿景、战略规划，及政策行动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_Toc19306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_Toc2049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环境相关主要成果和绩效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_Toc24393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第二部分 环境相关治理结构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_Toc16505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董事会层面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_Toc16505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_Toc32068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董事会以下层面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_Toc32068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_Toc9597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第三部分  环境相关政策制度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_Toc9597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_Toc20977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制定并完善内部环境相关管理制度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_Toc23150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贯彻落实国家及地区环境政策、法规及标准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_Toc23150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_Toc24545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三、 遵守气候与环境国际公约、框架、倡议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_Toc24545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_Toc22906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第四部分  环境相关产品与服务创新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_Toc22906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_Toc23239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绿色金融产品创新：碳排放配额抵押贷款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_Toc23239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_Toc10435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绿色金融系统创新：环境效益测算系统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_Toc10435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_Toc13460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三、 绿色金融课题研究：《金融机构环境信息披露难点及建议》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_Toc13460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_Toc11653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第五部分  环境风险管理流程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_Toc11653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_Toc13428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第六部分  环境因素影响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_Toc13428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_Toc13715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环境相关风险和机遇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_Toc13715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_Toc28385 </w:instrText>
      </w:r>
      <w:r>
        <w:rPr>
          <w:rFonts w:hint="eastAsia" w:ascii="宋体" w:hAnsi="宋体" w:eastAsia="宋体" w:cs="宋体"/>
          <w:sz w:val="24"/>
          <w:szCs w:val="24"/>
        </w:rPr>
        <w:fldChar w:fldCharType="separate"/>
      </w:r>
      <w:r>
        <w:rPr>
          <w:rFonts w:hint="eastAsia" w:ascii="宋体" w:hAnsi="宋体" w:eastAsia="宋体" w:cs="宋体"/>
          <w:color w:val="044A91" w:themeColor="hyperlink" w:themeShade="BF"/>
          <w:sz w:val="24"/>
          <w:szCs w:val="24"/>
        </w:rPr>
        <w:t xml:space="preserve">二、 </w:t>
      </w:r>
      <w:r>
        <w:rPr>
          <w:rFonts w:hint="eastAsia" w:ascii="宋体" w:hAnsi="宋体" w:eastAsia="宋体" w:cs="宋体"/>
          <w:bCs w:val="0"/>
          <w:color w:val="044A91" w:themeColor="hyperlink" w:themeShade="BF"/>
          <w:sz w:val="24"/>
          <w:szCs w:val="24"/>
        </w:rPr>
        <w:t>环境风险量化分析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_Toc28385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_Toc20906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第七部分  投融资活动的环境影响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_Toc20906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_Toc28452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投融资活动产生的环境影响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_Toc28452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_Toc12136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投融资环境影响的测算与表达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_Toc9719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第八部分  经营活动的环境影响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_Toc22503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经营活动产生的直接温室气体排放和直接自然资源消耗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_Toc22503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_Toc3628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采购产品或服务产生的间接温室气体排放和间接自然资源消耗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_Toc3628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_Toc8273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三</w:t>
      </w:r>
      <w:r>
        <w:rPr>
          <w:rFonts w:hint="eastAsia" w:ascii="宋体" w:hAnsi="宋体" w:eastAsia="宋体" w:cs="宋体"/>
          <w:bCs w:val="0"/>
          <w:color w:val="044A91" w:themeColor="hyperlink" w:themeShade="BF"/>
          <w:sz w:val="24"/>
          <w:szCs w:val="24"/>
          <w:highlight w:val="none"/>
        </w:rPr>
        <w:t xml:space="preserve">、 </w:t>
      </w:r>
      <w:r>
        <w:rPr>
          <w:rFonts w:hint="eastAsia" w:ascii="宋体" w:hAnsi="宋体" w:eastAsia="宋体" w:cs="宋体"/>
          <w:bCs w:val="0"/>
          <w:color w:val="044A91" w:themeColor="hyperlink" w:themeShade="BF"/>
          <w:sz w:val="24"/>
          <w:szCs w:val="24"/>
          <w:highlight w:val="none"/>
          <w:lang w:val="en-US" w:eastAsia="zh-CN"/>
        </w:rPr>
        <w:t>员工通勤</w:t>
      </w:r>
      <w:r>
        <w:rPr>
          <w:rFonts w:hint="eastAsia" w:ascii="宋体" w:hAnsi="宋体" w:eastAsia="宋体" w:cs="宋体"/>
          <w:bCs w:val="0"/>
          <w:color w:val="044A91" w:themeColor="hyperlink" w:themeShade="BF"/>
          <w:sz w:val="24"/>
          <w:szCs w:val="24"/>
          <w:highlight w:val="none"/>
        </w:rPr>
        <w:t>产生的间接温室气体排放和间接自然资源消耗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_Toc8273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_Toc16251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四、 温室气体排放总量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_Toc16251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_Toc17377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五、 采取环保措施所产生的环境效益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_Toc17377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_Toc10479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六、 经营活动环境影响的统计口径和测算方法学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_Toc10479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_Toc6964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第九部分  数据梳理、校验及保护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_Toc6964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_Toc14215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一、 定期数据梳理和校验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_Toc14215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_Toc17110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二、 保障数据安全和数据主体权益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_Toc17110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_Toc4866 </w:instrText>
      </w:r>
      <w:r>
        <w:rPr>
          <w:rFonts w:hint="eastAsia" w:ascii="宋体" w:hAnsi="宋体" w:eastAsia="宋体" w:cs="宋体"/>
          <w:sz w:val="24"/>
          <w:szCs w:val="24"/>
        </w:rPr>
        <w:fldChar w:fldCharType="separate"/>
      </w:r>
      <w:r>
        <w:rPr>
          <w:rFonts w:hint="eastAsia" w:ascii="宋体" w:hAnsi="宋体" w:eastAsia="宋体" w:cs="宋体"/>
          <w:bCs w:val="0"/>
          <w:color w:val="044A91" w:themeColor="hyperlink" w:themeShade="BF"/>
          <w:sz w:val="24"/>
          <w:szCs w:val="24"/>
        </w:rPr>
        <w:t>三、 建立数据安全事件（事故）应急处理预案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_Toc4866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_Toc21350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第十部分 其他环境信息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_Toc21350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_Toc10739 </w:instrText>
      </w:r>
      <w:r>
        <w:rPr>
          <w:rFonts w:hint="eastAsia" w:ascii="宋体" w:hAnsi="宋体" w:eastAsia="宋体" w:cs="宋体"/>
          <w:sz w:val="24"/>
          <w:szCs w:val="24"/>
        </w:rPr>
        <w:fldChar w:fldCharType="separate"/>
      </w:r>
      <w:r>
        <w:rPr>
          <w:rFonts w:hint="eastAsia" w:ascii="宋体" w:hAnsi="宋体" w:eastAsia="宋体" w:cs="宋体"/>
          <w:b/>
          <w:bCs/>
          <w:color w:val="044A91" w:themeColor="hyperlink" w:themeShade="BF"/>
          <w:sz w:val="24"/>
          <w:szCs w:val="24"/>
        </w:rPr>
        <w:t>第十一部分  未来展望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_Toc10739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_Toc8147 </w:instrText>
      </w:r>
      <w:r>
        <w:rPr>
          <w:rFonts w:hint="eastAsia" w:ascii="宋体" w:hAnsi="宋体" w:eastAsia="宋体" w:cs="宋体"/>
          <w:sz w:val="24"/>
          <w:szCs w:val="24"/>
        </w:rPr>
        <w:fldChar w:fldCharType="separate"/>
      </w:r>
      <w:r>
        <w:rPr>
          <w:rFonts w:hint="eastAsia" w:ascii="宋体" w:hAnsi="宋体" w:eastAsia="宋体" w:cs="宋体"/>
          <w:color w:val="044A91" w:themeColor="hyperlink" w:themeShade="BF"/>
          <w:sz w:val="24"/>
          <w:szCs w:val="24"/>
        </w:rPr>
        <w:t>附录1：《金融机构环境信息披露指南》索引目录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_Toc8147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_Toc20366 </w:instrText>
      </w:r>
      <w:r>
        <w:rPr>
          <w:rFonts w:hint="eastAsia" w:ascii="宋体" w:hAnsi="宋体" w:eastAsia="宋体" w:cs="宋体"/>
          <w:sz w:val="24"/>
          <w:szCs w:val="24"/>
        </w:rPr>
        <w:fldChar w:fldCharType="separate"/>
      </w:r>
      <w:r>
        <w:rPr>
          <w:rFonts w:hint="eastAsia" w:ascii="宋体" w:hAnsi="宋体" w:eastAsia="宋体" w:cs="宋体"/>
          <w:color w:val="044A91" w:themeColor="hyperlink" w:themeShade="BF"/>
          <w:sz w:val="24"/>
          <w:szCs w:val="24"/>
        </w:rPr>
        <w:t>附录2：测算方法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_Toc20366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cs="宋体"/>
          <w:sz w:val="24"/>
          <w:szCs w:val="24"/>
        </w:rPr>
        <w:fldChar w:fldCharType="end"/>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Times New Roman" w:hAnsi="Times New Roman" w:eastAsia="楷体" w:cs="宋体"/>
          <w:sz w:val="24"/>
          <w:szCs w:val="24"/>
          <w:shd w:val="clear" w:color="auto" w:fill="FFFFFF"/>
        </w:rPr>
      </w:pPr>
      <w:r>
        <w:rPr>
          <w:rFonts w:ascii="Times New Roman" w:hAnsi="Times New Roman" w:eastAsia="楷体" w:cs="宋体"/>
          <w:sz w:val="24"/>
          <w:szCs w:val="24"/>
          <w:shd w:val="clear" w:color="auto" w:fill="FFFFFF"/>
        </w:rPr>
        <w:br w:type="page"/>
      </w:r>
    </w:p>
    <w:p>
      <w:pPr>
        <w:pStyle w:val="16"/>
        <w:tabs>
          <w:tab w:val="right" w:leader="dot" w:pos="8306"/>
        </w:tabs>
        <w:spacing w:line="360" w:lineRule="auto"/>
        <w:rPr>
          <w:rFonts w:ascii="Times New Roman" w:hAnsi="Times New Roman"/>
        </w:rPr>
        <w:sectPr>
          <w:headerReference r:id="rId6" w:type="default"/>
          <w:pgSz w:w="11906" w:h="16838"/>
          <w:pgMar w:top="1440" w:right="1800" w:bottom="1440" w:left="1800" w:header="1020"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
        <w:spacing w:line="360" w:lineRule="auto"/>
        <w:rPr>
          <w:color w:val="2E75B6" w:themeColor="accent5" w:themeShade="BF"/>
        </w:rPr>
      </w:pPr>
      <w:bookmarkStart w:id="4" w:name="_Toc103"/>
      <w:bookmarkStart w:id="5" w:name="_Toc29272"/>
      <w:bookmarkStart w:id="6" w:name="_Toc261"/>
      <w:bookmarkStart w:id="7" w:name="_Toc19344"/>
      <w:bookmarkStart w:id="8" w:name="_Toc13420"/>
      <w:bookmarkStart w:id="9" w:name="_Toc29521"/>
      <w:bookmarkStart w:id="10" w:name="_Toc18505"/>
      <w:bookmarkStart w:id="11" w:name="_Toc113969305"/>
      <w:r>
        <w:rPr>
          <w:rFonts w:hint="eastAsia"/>
          <w:color w:val="2E75B6" w:themeColor="accent5" w:themeShade="BF"/>
        </w:rPr>
        <w:t>第一部分 年度概况</w:t>
      </w:r>
      <w:bookmarkEnd w:id="4"/>
      <w:bookmarkEnd w:id="5"/>
      <w:bookmarkEnd w:id="6"/>
      <w:bookmarkEnd w:id="7"/>
      <w:bookmarkEnd w:id="8"/>
      <w:bookmarkEnd w:id="9"/>
      <w:bookmarkEnd w:id="10"/>
    </w:p>
    <w:p>
      <w:pPr>
        <w:spacing w:line="360" w:lineRule="auto"/>
        <w:rPr>
          <w:rFonts w:ascii="Times New Roman" w:hAnsi="Times New Roman"/>
          <w:color w:val="2E75B6" w:themeColor="accent5" w:themeShade="BF"/>
        </w:rPr>
      </w:pP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江门农村商业银行股份有限公司（以下简称</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江门农商银行</w:t>
      </w:r>
      <w:r>
        <w:rPr>
          <w:rFonts w:ascii="Times New Roman" w:hAnsi="Times New Roman" w:eastAsia="宋体" w:cs="宋体"/>
          <w:kern w:val="0"/>
          <w:sz w:val="24"/>
          <w:szCs w:val="24"/>
        </w:rPr>
        <w:t>”</w:t>
      </w:r>
      <w:r>
        <w:rPr>
          <w:rFonts w:hint="eastAsia" w:ascii="Times New Roman" w:hAnsi="Times New Roman" w:eastAsia="宋体" w:cs="宋体"/>
          <w:kern w:val="0"/>
          <w:sz w:val="24"/>
          <w:szCs w:val="24"/>
          <w:lang w:eastAsia="zh-Hans"/>
        </w:rPr>
        <w:t>或</w:t>
      </w:r>
      <w:r>
        <w:rPr>
          <w:rFonts w:ascii="Times New Roman" w:hAnsi="Times New Roman" w:eastAsia="宋体" w:cs="宋体"/>
          <w:kern w:val="0"/>
          <w:sz w:val="24"/>
          <w:szCs w:val="24"/>
          <w:lang w:eastAsia="zh-Hans"/>
        </w:rPr>
        <w:t>“</w:t>
      </w:r>
      <w:r>
        <w:rPr>
          <w:rFonts w:hint="eastAsia" w:ascii="Times New Roman" w:hAnsi="Times New Roman" w:eastAsia="宋体" w:cs="宋体"/>
          <w:kern w:val="0"/>
          <w:sz w:val="24"/>
          <w:szCs w:val="24"/>
          <w:lang w:eastAsia="zh-Hans"/>
        </w:rPr>
        <w:t>本行</w:t>
      </w:r>
      <w:r>
        <w:rPr>
          <w:rFonts w:ascii="Times New Roman" w:hAnsi="Times New Roman" w:eastAsia="宋体" w:cs="宋体"/>
          <w:kern w:val="0"/>
          <w:sz w:val="24"/>
          <w:szCs w:val="24"/>
          <w:lang w:eastAsia="zh-Hans"/>
        </w:rPr>
        <w:t>”</w:t>
      </w:r>
      <w:r>
        <w:rPr>
          <w:rFonts w:hint="eastAsia" w:ascii="Times New Roman" w:hAnsi="Times New Roman" w:eastAsia="宋体" w:cs="宋体"/>
          <w:kern w:val="0"/>
          <w:sz w:val="24"/>
          <w:szCs w:val="24"/>
        </w:rPr>
        <w:t>）经中国银保监会批准，由原江门新会农村商业银行股份有限公司与原江门融和农村商业银行股份有限公司合并组建成立，于</w:t>
      </w:r>
      <w:r>
        <w:rPr>
          <w:rFonts w:ascii="Times New Roman" w:hAnsi="Times New Roman" w:eastAsia="宋体" w:cs="宋体"/>
          <w:kern w:val="0"/>
          <w:sz w:val="24"/>
          <w:szCs w:val="24"/>
        </w:rPr>
        <w:t>2018</w:t>
      </w:r>
      <w:r>
        <w:rPr>
          <w:rFonts w:hint="eastAsia" w:ascii="Times New Roman" w:hAnsi="Times New Roman" w:eastAsia="宋体" w:cs="宋体"/>
          <w:kern w:val="0"/>
          <w:sz w:val="24"/>
          <w:szCs w:val="24"/>
        </w:rPr>
        <w:t>年</w:t>
      </w:r>
      <w:r>
        <w:rPr>
          <w:rFonts w:ascii="Times New Roman" w:hAnsi="Times New Roman" w:eastAsia="宋体" w:cs="宋体"/>
          <w:kern w:val="0"/>
          <w:sz w:val="24"/>
          <w:szCs w:val="24"/>
        </w:rPr>
        <w:t>9</w:t>
      </w:r>
      <w:r>
        <w:rPr>
          <w:rFonts w:hint="eastAsia" w:ascii="Times New Roman" w:hAnsi="Times New Roman" w:eastAsia="宋体" w:cs="宋体"/>
          <w:kern w:val="0"/>
          <w:sz w:val="24"/>
          <w:szCs w:val="24"/>
        </w:rPr>
        <w:t>月</w:t>
      </w:r>
      <w:r>
        <w:rPr>
          <w:rFonts w:ascii="Times New Roman" w:hAnsi="Times New Roman" w:eastAsia="宋体" w:cs="宋体"/>
          <w:kern w:val="0"/>
          <w:sz w:val="24"/>
          <w:szCs w:val="24"/>
        </w:rPr>
        <w:t>30</w:t>
      </w:r>
      <w:r>
        <w:rPr>
          <w:rFonts w:hint="eastAsia" w:ascii="Times New Roman" w:hAnsi="Times New Roman" w:eastAsia="宋体" w:cs="宋体"/>
          <w:kern w:val="0"/>
          <w:sz w:val="24"/>
          <w:szCs w:val="24"/>
        </w:rPr>
        <w:t>日正式挂牌开业，是广东省首家由城区农商行合并组建的银行机构。</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截至</w:t>
      </w:r>
      <w:r>
        <w:rPr>
          <w:rFonts w:ascii="Times New Roman" w:hAnsi="Times New Roman" w:eastAsia="宋体" w:cs="宋体"/>
          <w:kern w:val="0"/>
          <w:sz w:val="24"/>
          <w:szCs w:val="24"/>
        </w:rPr>
        <w:t>2022</w:t>
      </w:r>
      <w:r>
        <w:rPr>
          <w:rFonts w:hint="eastAsia" w:ascii="Times New Roman" w:hAnsi="Times New Roman" w:eastAsia="宋体" w:cs="宋体"/>
          <w:kern w:val="0"/>
          <w:sz w:val="24"/>
          <w:szCs w:val="24"/>
        </w:rPr>
        <w:t>年末，江门农商银行资产总额</w:t>
      </w:r>
      <w:r>
        <w:rPr>
          <w:rFonts w:hint="eastAsia" w:ascii="Times New Roman" w:hAnsi="Times New Roman" w:eastAsia="宋体" w:cs="宋体"/>
          <w:kern w:val="0"/>
          <w:sz w:val="24"/>
          <w:szCs w:val="24"/>
          <w:highlight w:val="none"/>
          <w:lang w:val="en-US" w:eastAsia="zh-CN"/>
        </w:rPr>
        <w:t>1,366</w:t>
      </w:r>
      <w:r>
        <w:rPr>
          <w:rFonts w:hint="eastAsia" w:ascii="Times New Roman" w:hAnsi="Times New Roman" w:eastAsia="宋体" w:cs="宋体"/>
          <w:kern w:val="0"/>
          <w:sz w:val="24"/>
          <w:szCs w:val="24"/>
          <w:highlight w:val="none"/>
        </w:rPr>
        <w:t>亿元</w:t>
      </w:r>
      <w:r>
        <w:rPr>
          <w:rFonts w:hint="eastAsia" w:ascii="Times New Roman" w:hAnsi="Times New Roman" w:eastAsia="宋体" w:cs="宋体"/>
          <w:kern w:val="0"/>
          <w:sz w:val="24"/>
          <w:szCs w:val="24"/>
        </w:rPr>
        <w:t>，各项存款余额</w:t>
      </w:r>
      <w:r>
        <w:rPr>
          <w:rFonts w:ascii="Times New Roman" w:hAnsi="Times New Roman" w:eastAsia="宋体" w:cs="宋体"/>
          <w:kern w:val="0"/>
          <w:sz w:val="24"/>
          <w:szCs w:val="24"/>
        </w:rPr>
        <w:t>989</w:t>
      </w:r>
      <w:r>
        <w:rPr>
          <w:rFonts w:hint="eastAsia" w:ascii="Times New Roman" w:hAnsi="Times New Roman" w:eastAsia="宋体" w:cs="宋体"/>
          <w:kern w:val="0"/>
          <w:sz w:val="24"/>
          <w:szCs w:val="24"/>
        </w:rPr>
        <w:t>亿元，各项贷款余额</w:t>
      </w:r>
      <w:r>
        <w:rPr>
          <w:rFonts w:ascii="Times New Roman" w:hAnsi="Times New Roman" w:eastAsia="宋体" w:cs="宋体"/>
          <w:kern w:val="0"/>
          <w:sz w:val="24"/>
          <w:szCs w:val="24"/>
        </w:rPr>
        <w:t>708</w:t>
      </w:r>
      <w:r>
        <w:rPr>
          <w:rFonts w:hint="eastAsia" w:ascii="Times New Roman" w:hAnsi="Times New Roman" w:eastAsia="宋体" w:cs="宋体"/>
          <w:kern w:val="0"/>
          <w:sz w:val="24"/>
          <w:szCs w:val="24"/>
        </w:rPr>
        <w:t>亿元；在江门市区和恩平市设有</w:t>
      </w:r>
      <w:r>
        <w:rPr>
          <w:rFonts w:ascii="Times New Roman" w:hAnsi="Times New Roman" w:eastAsia="宋体" w:cs="宋体"/>
          <w:kern w:val="0"/>
          <w:sz w:val="24"/>
          <w:szCs w:val="24"/>
        </w:rPr>
        <w:t>182</w:t>
      </w:r>
      <w:r>
        <w:rPr>
          <w:rFonts w:hint="eastAsia" w:ascii="Times New Roman" w:hAnsi="Times New Roman" w:eastAsia="宋体" w:cs="宋体"/>
          <w:kern w:val="0"/>
          <w:sz w:val="24"/>
          <w:szCs w:val="24"/>
        </w:rPr>
        <w:t>家营业网点，在职员工</w:t>
      </w:r>
      <w:r>
        <w:rPr>
          <w:rFonts w:ascii="Times New Roman" w:hAnsi="Times New Roman" w:eastAsia="宋体" w:cs="宋体"/>
          <w:kern w:val="0"/>
          <w:sz w:val="24"/>
          <w:szCs w:val="24"/>
        </w:rPr>
        <w:t>2</w:t>
      </w:r>
      <w:r>
        <w:rPr>
          <w:rFonts w:hint="eastAsia" w:ascii="Times New Roman" w:hAnsi="Times New Roman" w:eastAsia="宋体" w:cs="宋体"/>
          <w:kern w:val="0"/>
          <w:sz w:val="24"/>
          <w:szCs w:val="24"/>
          <w:lang w:val="en-US" w:eastAsia="zh-CN"/>
        </w:rPr>
        <w:t>,</w:t>
      </w:r>
      <w:r>
        <w:rPr>
          <w:rFonts w:ascii="Times New Roman" w:hAnsi="Times New Roman" w:eastAsia="宋体" w:cs="宋体"/>
          <w:kern w:val="0"/>
          <w:sz w:val="24"/>
          <w:szCs w:val="24"/>
        </w:rPr>
        <w:t>300</w:t>
      </w:r>
      <w:r>
        <w:rPr>
          <w:rFonts w:hint="eastAsia" w:ascii="Times New Roman" w:hAnsi="Times New Roman" w:eastAsia="宋体" w:cs="宋体"/>
          <w:kern w:val="0"/>
          <w:sz w:val="24"/>
          <w:szCs w:val="24"/>
        </w:rPr>
        <w:t>余人；投资了省内</w:t>
      </w:r>
      <w:r>
        <w:rPr>
          <w:rFonts w:ascii="Times New Roman" w:hAnsi="Times New Roman" w:eastAsia="宋体" w:cs="宋体"/>
          <w:kern w:val="0"/>
          <w:sz w:val="24"/>
          <w:szCs w:val="24"/>
        </w:rPr>
        <w:t>10</w:t>
      </w:r>
      <w:r>
        <w:rPr>
          <w:rFonts w:hint="eastAsia" w:ascii="Times New Roman" w:hAnsi="Times New Roman" w:eastAsia="宋体" w:cs="宋体"/>
          <w:kern w:val="0"/>
          <w:sz w:val="24"/>
          <w:szCs w:val="24"/>
        </w:rPr>
        <w:t>家农商银行，并在广东、河北、山东发起成立了</w:t>
      </w:r>
      <w:r>
        <w:rPr>
          <w:rFonts w:ascii="Times New Roman" w:hAnsi="Times New Roman" w:eastAsia="宋体" w:cs="宋体"/>
          <w:kern w:val="0"/>
          <w:sz w:val="24"/>
          <w:szCs w:val="24"/>
        </w:rPr>
        <w:t>7</w:t>
      </w:r>
      <w:r>
        <w:rPr>
          <w:rFonts w:hint="eastAsia" w:ascii="Times New Roman" w:hAnsi="Times New Roman" w:eastAsia="宋体" w:cs="宋体"/>
          <w:kern w:val="0"/>
          <w:sz w:val="24"/>
          <w:szCs w:val="24"/>
        </w:rPr>
        <w:t>家村镇银行，企业形象和品牌影响力持续提升。按一级资本排名，江门农商银行连续四年被英国《银行家》杂志评为</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全球银行</w:t>
      </w:r>
      <w:r>
        <w:rPr>
          <w:rFonts w:ascii="Times New Roman" w:hAnsi="Times New Roman" w:eastAsia="宋体" w:cs="宋体"/>
          <w:kern w:val="0"/>
          <w:sz w:val="24"/>
          <w:szCs w:val="24"/>
        </w:rPr>
        <w:t>1000</w:t>
      </w:r>
      <w:r>
        <w:rPr>
          <w:rFonts w:hint="eastAsia" w:ascii="Times New Roman" w:hAnsi="Times New Roman" w:eastAsia="宋体" w:cs="宋体"/>
          <w:kern w:val="0"/>
          <w:sz w:val="24"/>
          <w:szCs w:val="24"/>
        </w:rPr>
        <w:t>强</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作为江门市首家资产规模超千亿的地方金融机构，江门农商银行不断强化服务经济发展的责任担当，主动对接粤港澳大湾区等国家重点战略，持续完善产品和服务体系，积极践行普惠金融、勤劳金融，以</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有温度、有速度、有精度</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的金融服务，为全面推动粤港澳大湾区建设、深入推动乡村振兴战略提供有力支撑。</w:t>
      </w:r>
    </w:p>
    <w:p>
      <w:pPr>
        <w:widowControl/>
        <w:spacing w:line="360" w:lineRule="auto"/>
        <w:ind w:firstLine="480" w:firstLineChars="200"/>
        <w:rPr>
          <w:rFonts w:ascii="Times New Roman" w:hAnsi="Times New Roman" w:eastAsia="宋体" w:cs="宋体"/>
          <w:kern w:val="0"/>
          <w:sz w:val="24"/>
          <w:szCs w:val="24"/>
          <w:lang w:eastAsia="zh-Hans"/>
        </w:rPr>
      </w:pPr>
      <w:r>
        <w:rPr>
          <w:rFonts w:hint="eastAsia" w:ascii="Times New Roman" w:hAnsi="Times New Roman" w:eastAsia="宋体" w:cs="宋体"/>
          <w:kern w:val="0"/>
          <w:sz w:val="24"/>
          <w:szCs w:val="24"/>
        </w:rPr>
        <w:t>站在新的起点上，江门农商银行将继续以</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打造侨都特色、客户首选的湾区一流银行</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为目标，坚守</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服务</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三农</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、服务中小、服务实体经济</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的市场定位，践行</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惠农兴商、助力梦想</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的企业使命，加快转换经营机制，加速推动服务重心下沉，持续推进综合化、特色化、数字化、国际化改革，积极探索党领导数字化时代</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勤劳金融</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新路子，努力开创高质量发展新局面，为促进经济社会发展注入更强大的</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农商力量</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近年来，江门农商银行贯彻落实党中央</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双碳</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战略，大力发展绿色金融，取得明显成效：</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一是</w:t>
      </w:r>
      <w:r>
        <w:rPr>
          <w:rFonts w:hint="eastAsia" w:ascii="Times New Roman" w:hAnsi="Times New Roman" w:eastAsia="宋体" w:cs="宋体"/>
          <w:kern w:val="0"/>
          <w:sz w:val="24"/>
          <w:szCs w:val="24"/>
          <w:lang w:eastAsia="zh-Hans"/>
        </w:rPr>
        <w:t>践行绿色发展理念，优化绿色信贷治理架构，</w:t>
      </w:r>
      <w:r>
        <w:rPr>
          <w:rFonts w:hint="eastAsia" w:ascii="Times New Roman" w:hAnsi="Times New Roman" w:eastAsia="宋体" w:cs="宋体"/>
          <w:kern w:val="0"/>
          <w:sz w:val="24"/>
          <w:szCs w:val="24"/>
        </w:rPr>
        <w:t>积极支持低碳、节能和环保企业发展。绿色贷款持续高速增长，近三年增速超</w:t>
      </w:r>
      <w:r>
        <w:rPr>
          <w:rFonts w:ascii="Times New Roman" w:hAnsi="Times New Roman" w:eastAsia="宋体" w:cs="宋体"/>
          <w:kern w:val="0"/>
          <w:sz w:val="24"/>
          <w:szCs w:val="24"/>
        </w:rPr>
        <w:t>40%</w:t>
      </w:r>
      <w:r>
        <w:rPr>
          <w:rFonts w:hint="eastAsia" w:ascii="Times New Roman" w:hAnsi="Times New Roman" w:eastAsia="宋体" w:cs="宋体"/>
          <w:kern w:val="0"/>
          <w:sz w:val="24"/>
          <w:szCs w:val="24"/>
        </w:rPr>
        <w:t>。</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二是推动全员绿色行动，绿色办公成效显著。本行坚持推行无纸化办公、智能化柜台等项目，实现业务流程无纸化、智能化办理，开展绿色办公和绿色公益行动，践行绿色金融和环保责任，持续监测绿色办公</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碳足迹</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三是创新金融产品和服务，助力绿色领域高质量发展。本行规范金融制度和管理流程，创新绿色金融产品，同时本行正密锣紧鼓筹备发行绿色金融债，探索创新“碳汇林”“碳排放权”等绿色金融产品，探索环境风险压力测试，持续推进绿色发展。</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四是完善绿色金融的基础建设，巩固绿色金融成果。研究碳排放方法学，利用“投入产出法”测算本行行业信贷投放的“完全碳排放强度”；与第三方密切专业领域合作，上线环境效益测算系统。</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五是加强环境风险和机遇识别，开展环境风险压力测试工作，提高环境风险的防控和缓释能力。</w:t>
      </w:r>
    </w:p>
    <w:p>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六是持续开展环境信息披露工作。作为珠三角地区环境信息披露的试点金融机构单位之一，连续三年发布环境信息披露报告，为区域环境信息披露工作先行示范。</w:t>
      </w:r>
    </w:p>
    <w:p>
      <w:pPr>
        <w:pStyle w:val="2"/>
        <w:spacing w:line="360" w:lineRule="auto"/>
        <w:rPr>
          <w:rFonts w:hint="default" w:ascii="Times New Roman" w:hAnsi="Times New Roman" w:eastAsia="宋体"/>
          <w:lang w:eastAsia="zh-Hans" w:bidi="ar"/>
        </w:rPr>
      </w:pPr>
    </w:p>
    <w:p>
      <w:pPr>
        <w:pStyle w:val="5"/>
        <w:keepNext w:val="0"/>
        <w:keepLines w:val="0"/>
        <w:numPr>
          <w:ilvl w:val="0"/>
          <w:numId w:val="2"/>
        </w:numPr>
        <w:spacing w:line="360" w:lineRule="auto"/>
        <w:jc w:val="both"/>
        <w:rPr>
          <w:rFonts w:cstheme="minorBidi"/>
          <w:bCs w:val="0"/>
          <w:color w:val="2E75B6" w:themeColor="accent5" w:themeShade="BF"/>
        </w:rPr>
      </w:pPr>
      <w:bookmarkStart w:id="12" w:name="_Toc7999"/>
      <w:bookmarkStart w:id="13" w:name="_Toc12582"/>
      <w:bookmarkStart w:id="14" w:name="_Toc18612"/>
      <w:bookmarkStart w:id="15" w:name="_Toc19306"/>
      <w:bookmarkStart w:id="16" w:name="_Toc24408"/>
      <w:bookmarkStart w:id="17" w:name="_Toc1554"/>
      <w:r>
        <w:rPr>
          <w:rFonts w:hint="eastAsia" w:cstheme="minorBidi"/>
          <w:bCs w:val="0"/>
          <w:color w:val="2E75B6" w:themeColor="accent5" w:themeShade="BF"/>
        </w:rPr>
        <w:t>环境相关目标愿景、战略规划，及政策行动</w:t>
      </w:r>
      <w:bookmarkEnd w:id="12"/>
      <w:bookmarkEnd w:id="13"/>
      <w:bookmarkEnd w:id="14"/>
      <w:bookmarkEnd w:id="15"/>
      <w:bookmarkEnd w:id="16"/>
      <w:bookmarkEnd w:id="17"/>
    </w:p>
    <w:p>
      <w:pPr>
        <w:pStyle w:val="6"/>
        <w:keepNext w:val="0"/>
        <w:keepLines w:val="0"/>
        <w:tabs>
          <w:tab w:val="left" w:pos="7414"/>
        </w:tabs>
        <w:spacing w:line="360" w:lineRule="auto"/>
        <w:jc w:val="both"/>
      </w:pPr>
      <w:bookmarkStart w:id="18" w:name="_Toc11076"/>
      <w:bookmarkStart w:id="19" w:name="_Toc30256"/>
      <w:bookmarkStart w:id="20" w:name="_Toc16348"/>
      <w:bookmarkStart w:id="21" w:name="_Toc12259"/>
      <w:bookmarkStart w:id="22" w:name="_Toc15500"/>
      <w:bookmarkStart w:id="23" w:name="_Toc2866"/>
      <w:bookmarkStart w:id="24" w:name="_Toc1131"/>
      <w:bookmarkStart w:id="25" w:name="_Toc1340"/>
      <w:bookmarkStart w:id="26" w:name="_Toc29871"/>
      <w:bookmarkStart w:id="27" w:name="_Toc32422"/>
      <w:bookmarkStart w:id="28" w:name="_Toc10839"/>
      <w:bookmarkStart w:id="29" w:name="_Toc16408"/>
      <w:bookmarkStart w:id="30" w:name="_Toc5555"/>
      <w:r>
        <w:rPr>
          <w:rFonts w:hint="eastAsia"/>
          <w:color w:val="2E75B6" w:themeColor="accent5" w:themeShade="BF"/>
        </w:rPr>
        <w:t>（一）</w:t>
      </w:r>
      <w:bookmarkEnd w:id="18"/>
      <w:bookmarkEnd w:id="19"/>
      <w:bookmarkEnd w:id="20"/>
      <w:bookmarkEnd w:id="21"/>
      <w:bookmarkEnd w:id="22"/>
      <w:r>
        <w:rPr>
          <w:rFonts w:hint="eastAsia"/>
          <w:color w:val="2E75B6" w:themeColor="accent5" w:themeShade="BF"/>
        </w:rPr>
        <w:t>目标愿景和战略规划</w:t>
      </w:r>
      <w:bookmarkEnd w:id="23"/>
      <w:bookmarkEnd w:id="24"/>
      <w:bookmarkEnd w:id="25"/>
      <w:bookmarkEnd w:id="26"/>
      <w:bookmarkEnd w:id="27"/>
      <w:bookmarkEnd w:id="28"/>
      <w:bookmarkEnd w:id="29"/>
      <w:bookmarkEnd w:id="30"/>
      <w:r>
        <w:tab/>
      </w:r>
    </w:p>
    <w:p>
      <w:pPr>
        <w:spacing w:line="360" w:lineRule="auto"/>
        <w:ind w:firstLine="480" w:firstLineChars="200"/>
        <w:rPr>
          <w:rFonts w:ascii="Times New Roman" w:hAnsi="Times New Roman" w:eastAsia="宋体" w:cs="宋体"/>
          <w:position w:val="-1"/>
          <w:sz w:val="24"/>
          <w:lang w:eastAsia="zh-Hans" w:bidi="ar"/>
        </w:rPr>
      </w:pPr>
      <w:r>
        <w:rPr>
          <w:rFonts w:hint="eastAsia" w:ascii="Times New Roman" w:hAnsi="Times New Roman" w:eastAsia="宋体" w:cs="宋体"/>
          <w:position w:val="-1"/>
          <w:sz w:val="24"/>
          <w:lang w:eastAsia="zh-Hans" w:bidi="ar"/>
        </w:rPr>
        <w:t>江门农商银行作为地方法人银行，积极发挥体制机制优势，不断强化服务经济发展的责任担当，制定《江门农村商业银行股份有限公司绿色信贷发展战略（</w:t>
      </w:r>
      <w:r>
        <w:rPr>
          <w:rFonts w:ascii="Times New Roman" w:hAnsi="Times New Roman" w:eastAsia="宋体" w:cs="宋体"/>
          <w:position w:val="-1"/>
          <w:sz w:val="24"/>
          <w:lang w:eastAsia="zh-Hans" w:bidi="ar"/>
        </w:rPr>
        <w:t>2020-2023</w:t>
      </w:r>
      <w:r>
        <w:rPr>
          <w:rFonts w:hint="eastAsia" w:ascii="Times New Roman" w:hAnsi="Times New Roman" w:eastAsia="宋体" w:cs="宋体"/>
          <w:position w:val="-1"/>
          <w:sz w:val="24"/>
          <w:lang w:eastAsia="zh-Hans" w:bidi="ar"/>
        </w:rPr>
        <w:t>年）》</w:t>
      </w:r>
      <w:r>
        <w:rPr>
          <w:rFonts w:ascii="Times New Roman" w:hAnsi="Times New Roman" w:eastAsia="宋体" w:cs="宋体"/>
          <w:position w:val="-1"/>
          <w:sz w:val="24"/>
          <w:lang w:bidi="ar"/>
        </w:rPr>
        <w:t>，</w:t>
      </w:r>
      <w:r>
        <w:rPr>
          <w:rFonts w:hint="eastAsia" w:ascii="Times New Roman" w:hAnsi="Times New Roman" w:eastAsia="宋体" w:cs="宋体"/>
          <w:position w:val="-1"/>
          <w:sz w:val="24"/>
          <w:lang w:eastAsia="zh-Hans" w:bidi="ar"/>
        </w:rPr>
        <w:t>提出持续扩大绿色信贷规模</w:t>
      </w:r>
      <w:r>
        <w:rPr>
          <w:rFonts w:ascii="Times New Roman" w:hAnsi="Times New Roman" w:eastAsia="宋体" w:cs="宋体"/>
          <w:position w:val="-1"/>
          <w:sz w:val="24"/>
          <w:lang w:eastAsia="zh-Hans" w:bidi="ar"/>
        </w:rPr>
        <w:t>，</w:t>
      </w:r>
      <w:r>
        <w:rPr>
          <w:rFonts w:hint="eastAsia" w:ascii="Times New Roman" w:hAnsi="Times New Roman" w:eastAsia="宋体" w:cs="宋体"/>
          <w:position w:val="-1"/>
          <w:sz w:val="24"/>
          <w:lang w:eastAsia="zh-Hans" w:bidi="ar"/>
        </w:rPr>
        <w:t>努力实现绿色信贷“一增三控”的战略目标</w:t>
      </w:r>
      <w:r>
        <w:rPr>
          <w:rFonts w:ascii="Times New Roman" w:hAnsi="Times New Roman" w:eastAsia="宋体" w:cs="宋体"/>
          <w:position w:val="-1"/>
          <w:sz w:val="24"/>
          <w:lang w:eastAsia="zh-Hans" w:bidi="ar"/>
        </w:rPr>
        <w:t>，切实将绿色信贷理念融入银行经营活动，优先支持绿色金融发展，</w:t>
      </w:r>
      <w:r>
        <w:rPr>
          <w:rFonts w:hint="eastAsia" w:ascii="Times New Roman" w:hAnsi="Times New Roman" w:eastAsia="宋体" w:cs="宋体"/>
          <w:position w:val="-1"/>
          <w:sz w:val="24"/>
          <w:lang w:eastAsia="zh-Hans" w:bidi="ar"/>
        </w:rPr>
        <w:t>拓展</w:t>
      </w:r>
      <w:r>
        <w:rPr>
          <w:rFonts w:ascii="Times New Roman" w:hAnsi="Times New Roman" w:eastAsia="宋体" w:cs="宋体"/>
          <w:position w:val="-1"/>
          <w:sz w:val="24"/>
          <w:lang w:eastAsia="zh-Hans" w:bidi="ar"/>
        </w:rPr>
        <w:t>产品体系，</w:t>
      </w:r>
      <w:r>
        <w:rPr>
          <w:rFonts w:hint="eastAsia" w:ascii="Times New Roman" w:hAnsi="Times New Roman" w:eastAsia="宋体" w:cs="宋体"/>
          <w:position w:val="-1"/>
          <w:sz w:val="24"/>
          <w:lang w:eastAsia="zh-Hans" w:bidi="ar"/>
        </w:rPr>
        <w:t>防范化解</w:t>
      </w:r>
      <w:r>
        <w:rPr>
          <w:rFonts w:ascii="Times New Roman" w:hAnsi="Times New Roman" w:eastAsia="宋体" w:cs="宋体"/>
          <w:position w:val="-1"/>
          <w:sz w:val="24"/>
          <w:lang w:eastAsia="zh-Hans" w:bidi="ar"/>
        </w:rPr>
        <w:t>风险等</w:t>
      </w:r>
      <w:r>
        <w:rPr>
          <w:rFonts w:hint="eastAsia" w:ascii="Times New Roman" w:hAnsi="Times New Roman" w:eastAsia="宋体" w:cs="宋体"/>
          <w:position w:val="-1"/>
          <w:sz w:val="24"/>
          <w:lang w:eastAsia="zh-Hans" w:bidi="ar"/>
        </w:rPr>
        <w:t>，并在该战略指导下建立和完善相应的组织结构、制度体系、工作机制、风控体系、产品体系等</w:t>
      </w:r>
      <w:r>
        <w:rPr>
          <w:rFonts w:ascii="Times New Roman" w:hAnsi="Times New Roman" w:eastAsia="宋体" w:cs="宋体"/>
          <w:position w:val="-1"/>
          <w:sz w:val="24"/>
          <w:lang w:eastAsia="zh-Hans" w:bidi="ar"/>
        </w:rPr>
        <w:t>。</w:t>
      </w:r>
    </w:p>
    <w:p>
      <w:pPr>
        <w:pStyle w:val="6"/>
        <w:spacing w:line="360" w:lineRule="auto"/>
        <w:jc w:val="both"/>
        <w:rPr>
          <w:color w:val="2E75B6" w:themeColor="accent5" w:themeShade="BF"/>
        </w:rPr>
      </w:pPr>
      <w:bookmarkStart w:id="31" w:name="_Toc27535"/>
      <w:bookmarkStart w:id="32" w:name="_Toc17240"/>
      <w:bookmarkStart w:id="33" w:name="_Toc24967"/>
      <w:bookmarkStart w:id="34" w:name="_Toc18770"/>
      <w:bookmarkStart w:id="35" w:name="_Toc7295"/>
      <w:bookmarkStart w:id="36" w:name="_Toc29721"/>
      <w:r>
        <w:rPr>
          <w:rFonts w:hint="eastAsia"/>
          <w:color w:val="2E75B6" w:themeColor="accent5" w:themeShade="BF"/>
        </w:rPr>
        <w:t>（二）政策行动</w:t>
      </w:r>
      <w:bookmarkEnd w:id="31"/>
      <w:bookmarkEnd w:id="32"/>
      <w:bookmarkEnd w:id="33"/>
      <w:bookmarkEnd w:id="34"/>
      <w:bookmarkEnd w:id="35"/>
      <w:bookmarkEnd w:id="36"/>
    </w:p>
    <w:p>
      <w:pPr>
        <w:spacing w:line="360" w:lineRule="auto"/>
        <w:ind w:firstLine="480" w:firstLineChars="200"/>
        <w:rPr>
          <w:rFonts w:ascii="Times New Roman" w:hAnsi="Times New Roman" w:eastAsia="宋体" w:cs="Times New Roman"/>
          <w:position w:val="-1"/>
          <w:sz w:val="24"/>
          <w:szCs w:val="24"/>
          <w:lang w:bidi="ar"/>
        </w:rPr>
      </w:pPr>
      <w:r>
        <w:rPr>
          <w:rFonts w:hint="eastAsia" w:ascii="Times New Roman" w:hAnsi="Times New Roman" w:eastAsia="宋体" w:cs="Times New Roman"/>
          <w:position w:val="-1"/>
          <w:sz w:val="24"/>
          <w:szCs w:val="24"/>
          <w:lang w:bidi="ar"/>
        </w:rPr>
        <w:t>本行在响应和落实国家、地区及主管机构的政策基础上，结合自身前期在绿色金融领域的探索，采取了多方面的政策行动，主要包括：</w:t>
      </w:r>
    </w:p>
    <w:p>
      <w:pPr>
        <w:pStyle w:val="2"/>
        <w:spacing w:after="0" w:line="360" w:lineRule="auto"/>
        <w:ind w:firstLine="480"/>
        <w:rPr>
          <w:rFonts w:hint="default" w:ascii="Times New Roman" w:hAnsi="Times New Roman"/>
          <w:sz w:val="24"/>
          <w:szCs w:val="24"/>
        </w:rPr>
      </w:pPr>
    </w:p>
    <w:p>
      <w:pPr>
        <w:pStyle w:val="2"/>
        <w:spacing w:after="0" w:line="360" w:lineRule="auto"/>
        <w:ind w:left="0" w:leftChars="0" w:firstLine="0" w:firstLineChars="0"/>
        <w:rPr>
          <w:rFonts w:hint="default" w:ascii="Times New Roman" w:hAnsi="Times New Roman"/>
        </w:rPr>
      </w:pPr>
    </w:p>
    <w:p>
      <w:pPr>
        <w:spacing w:line="360" w:lineRule="auto"/>
        <w:rPr>
          <w:rFonts w:ascii="Times New Roman" w:hAnsi="Times New Roman" w:eastAsia="楷体" w:cs="Times New Roman"/>
          <w:sz w:val="32"/>
          <w:szCs w:val="32"/>
        </w:rPr>
      </w:pPr>
      <w:r>
        <w:rPr>
          <w:rFonts w:ascii="Times New Roman" w:hAnsi="Times New Roman" w:eastAsia="楷体" w:cs="Times New Roman"/>
          <w:sz w:val="32"/>
          <w:szCs w:val="32"/>
        </w:rPr>
        <w:drawing>
          <wp:inline distT="0" distB="0" distL="114300" distR="114300">
            <wp:extent cx="4926330" cy="2329815"/>
            <wp:effectExtent l="0" t="0" r="26670" b="0"/>
            <wp:docPr id="563" name="图示 5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pStyle w:val="2"/>
        <w:spacing w:line="360" w:lineRule="auto"/>
        <w:ind w:left="0" w:leftChars="0" w:firstLine="0" w:firstLineChars="0"/>
        <w:jc w:val="center"/>
        <w:rPr>
          <w:rFonts w:hint="default" w:ascii="Times New Roman" w:hAnsi="Times New Roman" w:eastAsia="黑体" w:cs="宋体"/>
        </w:rPr>
      </w:pPr>
      <w:bookmarkStart w:id="37" w:name="_Toc11245"/>
      <w:r>
        <w:rPr>
          <w:rFonts w:ascii="Times New Roman" w:hAnsi="Times New Roman" w:eastAsia="黑体" w:cs="宋体"/>
        </w:rPr>
        <w:t>图</w:t>
      </w:r>
      <w:r>
        <w:rPr>
          <w:rFonts w:hint="default" w:ascii="Times New Roman" w:hAnsi="Times New Roman" w:eastAsia="黑体" w:cs="宋体"/>
        </w:rPr>
        <w:t>1-1</w:t>
      </w:r>
      <w:r>
        <w:rPr>
          <w:rFonts w:ascii="Times New Roman" w:hAnsi="Times New Roman" w:eastAsia="黑体" w:cs="宋体"/>
        </w:rPr>
        <w:t>：江门农商银行环境相关政策行动</w:t>
      </w:r>
      <w:bookmarkEnd w:id="37"/>
    </w:p>
    <w:p>
      <w:pPr>
        <w:pStyle w:val="5"/>
        <w:keepNext w:val="0"/>
        <w:keepLines w:val="0"/>
        <w:numPr>
          <w:ilvl w:val="0"/>
          <w:numId w:val="2"/>
        </w:numPr>
        <w:spacing w:line="360" w:lineRule="auto"/>
        <w:jc w:val="both"/>
        <w:rPr>
          <w:rFonts w:cstheme="minorBidi"/>
          <w:bCs w:val="0"/>
          <w:color w:val="2E75B6" w:themeColor="accent5" w:themeShade="BF"/>
        </w:rPr>
      </w:pPr>
      <w:bookmarkStart w:id="38" w:name="_Toc134445815"/>
      <w:bookmarkEnd w:id="38"/>
      <w:bookmarkStart w:id="39" w:name="_Toc134445738"/>
      <w:bookmarkEnd w:id="39"/>
      <w:bookmarkStart w:id="40" w:name="_Toc20616"/>
      <w:bookmarkStart w:id="41" w:name="_Toc27635"/>
      <w:bookmarkStart w:id="42" w:name="_Toc2049"/>
      <w:bookmarkStart w:id="43" w:name="_Toc27379"/>
      <w:bookmarkStart w:id="44" w:name="_Toc20134"/>
      <w:bookmarkStart w:id="45" w:name="_Toc28919"/>
      <w:bookmarkStart w:id="46" w:name="_Toc23789"/>
      <w:r>
        <w:rPr>
          <w:rFonts w:hint="eastAsia" w:cstheme="minorBidi"/>
          <w:bCs w:val="0"/>
          <w:color w:val="2E75B6" w:themeColor="accent5" w:themeShade="BF"/>
        </w:rPr>
        <w:t>环境相关主要成果和</w:t>
      </w:r>
      <w:bookmarkEnd w:id="40"/>
      <w:r>
        <w:rPr>
          <w:rFonts w:hint="eastAsia" w:cstheme="minorBidi"/>
          <w:bCs w:val="0"/>
          <w:color w:val="2E75B6" w:themeColor="accent5" w:themeShade="BF"/>
        </w:rPr>
        <w:t>绩效</w:t>
      </w:r>
      <w:bookmarkEnd w:id="41"/>
      <w:bookmarkEnd w:id="42"/>
      <w:bookmarkEnd w:id="43"/>
      <w:bookmarkEnd w:id="44"/>
      <w:bookmarkEnd w:id="45"/>
      <w:bookmarkEnd w:id="46"/>
    </w:p>
    <w:p>
      <w:pPr>
        <w:spacing w:line="360" w:lineRule="auto"/>
        <w:ind w:firstLine="480" w:firstLineChars="200"/>
        <w:rPr>
          <w:rFonts w:ascii="Times New Roman" w:hAnsi="Times New Roman" w:eastAsia="宋体" w:cs="Times New Roman"/>
          <w:position w:val="-1"/>
          <w:sz w:val="24"/>
          <w:lang w:bidi="ar"/>
        </w:rPr>
      </w:pPr>
      <w:r>
        <w:rPr>
          <w:rFonts w:hint="eastAsia" w:ascii="Times New Roman" w:hAnsi="Times New Roman" w:eastAsia="宋体" w:cs="Times New Roman"/>
          <w:position w:val="-1"/>
          <w:sz w:val="24"/>
          <w:lang w:bidi="ar"/>
        </w:rPr>
        <w:t>本行绿色信贷持续增长，截至2</w:t>
      </w:r>
      <w:r>
        <w:rPr>
          <w:rFonts w:ascii="Times New Roman" w:hAnsi="Times New Roman" w:eastAsia="宋体" w:cs="Times New Roman"/>
          <w:position w:val="-1"/>
          <w:sz w:val="24"/>
          <w:lang w:bidi="ar"/>
        </w:rPr>
        <w:t>022</w:t>
      </w:r>
      <w:r>
        <w:rPr>
          <w:rFonts w:hint="eastAsia" w:ascii="Times New Roman" w:hAnsi="Times New Roman" w:eastAsia="宋体" w:cs="Times New Roman"/>
          <w:position w:val="-1"/>
          <w:sz w:val="24"/>
          <w:lang w:bidi="ar"/>
        </w:rPr>
        <w:t>年末，绿色贷款余额</w:t>
      </w:r>
      <w:r>
        <w:rPr>
          <w:rFonts w:ascii="Times New Roman" w:hAnsi="Times New Roman" w:eastAsia="宋体" w:cs="Times New Roman"/>
          <w:position w:val="-1"/>
          <w:sz w:val="24"/>
          <w:lang w:bidi="ar"/>
        </w:rPr>
        <w:t>11.22</w:t>
      </w:r>
      <w:r>
        <w:rPr>
          <w:rFonts w:hint="eastAsia" w:ascii="Times New Roman" w:hAnsi="Times New Roman" w:eastAsia="宋体" w:cs="Times New Roman"/>
          <w:position w:val="-1"/>
          <w:sz w:val="24"/>
          <w:lang w:bidi="ar"/>
        </w:rPr>
        <w:t>亿元，较</w:t>
      </w:r>
      <w:r>
        <w:rPr>
          <w:rFonts w:hint="eastAsia" w:ascii="Times New Roman" w:hAnsi="Times New Roman" w:eastAsia="宋体" w:cs="Times New Roman"/>
          <w:position w:val="-1"/>
          <w:sz w:val="24"/>
          <w:lang w:eastAsia="zh-Hans" w:bidi="ar"/>
        </w:rPr>
        <w:t>上一年</w:t>
      </w:r>
      <w:r>
        <w:rPr>
          <w:rFonts w:hint="eastAsia" w:ascii="Times New Roman" w:hAnsi="Times New Roman" w:eastAsia="宋体" w:cs="Times New Roman"/>
          <w:position w:val="-1"/>
          <w:sz w:val="24"/>
          <w:lang w:bidi="ar"/>
        </w:rPr>
        <w:t>增长</w:t>
      </w:r>
      <w:r>
        <w:rPr>
          <w:rFonts w:ascii="Times New Roman" w:hAnsi="Times New Roman" w:eastAsia="宋体" w:cs="Times New Roman"/>
          <w:position w:val="-1"/>
          <w:sz w:val="24"/>
          <w:lang w:bidi="ar"/>
        </w:rPr>
        <w:t>3.22</w:t>
      </w:r>
      <w:r>
        <w:rPr>
          <w:rFonts w:hint="eastAsia" w:ascii="Times New Roman" w:hAnsi="Times New Roman" w:eastAsia="宋体" w:cs="Times New Roman"/>
          <w:position w:val="-1"/>
          <w:sz w:val="24"/>
          <w:lang w:bidi="ar"/>
        </w:rPr>
        <w:t>亿元，增幅为</w:t>
      </w:r>
      <w:r>
        <w:rPr>
          <w:rFonts w:ascii="Times New Roman" w:hAnsi="Times New Roman" w:eastAsia="宋体" w:cs="Times New Roman"/>
          <w:position w:val="-1"/>
          <w:sz w:val="24"/>
          <w:lang w:bidi="ar"/>
        </w:rPr>
        <w:t>40.25%</w:t>
      </w:r>
      <w:r>
        <w:rPr>
          <w:rFonts w:hint="eastAsia" w:ascii="Times New Roman" w:hAnsi="Times New Roman" w:eastAsia="宋体" w:cs="Times New Roman"/>
          <w:position w:val="-1"/>
          <w:sz w:val="24"/>
          <w:lang w:bidi="ar"/>
        </w:rPr>
        <w:t>，绿色贷款</w:t>
      </w:r>
      <w:r>
        <w:rPr>
          <w:rFonts w:hint="eastAsia" w:ascii="Times New Roman" w:hAnsi="Times New Roman" w:eastAsia="宋体" w:cs="Times New Roman"/>
          <w:position w:val="-1"/>
          <w:sz w:val="24"/>
          <w:lang w:eastAsia="zh-Hans" w:bidi="ar"/>
        </w:rPr>
        <w:t>余额</w:t>
      </w:r>
      <w:r>
        <w:rPr>
          <w:rFonts w:hint="eastAsia" w:ascii="Times New Roman" w:hAnsi="Times New Roman" w:eastAsia="宋体" w:cs="Times New Roman"/>
          <w:position w:val="-1"/>
          <w:sz w:val="24"/>
          <w:lang w:bidi="ar"/>
        </w:rPr>
        <w:t>占比</w:t>
      </w:r>
      <w:r>
        <w:rPr>
          <w:rFonts w:ascii="Times New Roman" w:hAnsi="Times New Roman" w:eastAsia="宋体" w:cs="Times New Roman"/>
          <w:position w:val="-1"/>
          <w:sz w:val="24"/>
          <w:lang w:bidi="ar"/>
        </w:rPr>
        <w:t>1</w:t>
      </w:r>
      <w:r>
        <w:rPr>
          <w:rFonts w:hint="eastAsia" w:ascii="Times New Roman" w:hAnsi="Times New Roman" w:eastAsia="宋体" w:cs="Times New Roman"/>
          <w:position w:val="-1"/>
          <w:sz w:val="24"/>
          <w:lang w:eastAsia="zh-Hans" w:bidi="ar"/>
        </w:rPr>
        <w:t>.</w:t>
      </w:r>
      <w:r>
        <w:rPr>
          <w:rFonts w:ascii="Times New Roman" w:hAnsi="Times New Roman" w:eastAsia="宋体" w:cs="Times New Roman"/>
          <w:position w:val="-1"/>
          <w:sz w:val="24"/>
          <w:lang w:eastAsia="zh-Hans" w:bidi="ar"/>
        </w:rPr>
        <w:t>58</w:t>
      </w:r>
      <w:r>
        <w:rPr>
          <w:rFonts w:ascii="Times New Roman" w:hAnsi="Times New Roman" w:eastAsia="宋体" w:cs="Times New Roman"/>
          <w:position w:val="-1"/>
          <w:sz w:val="24"/>
          <w:lang w:bidi="ar"/>
        </w:rPr>
        <w:t>%</w:t>
      </w:r>
      <w:r>
        <w:rPr>
          <w:rFonts w:hint="eastAsia" w:ascii="Times New Roman" w:hAnsi="Times New Roman" w:eastAsia="宋体" w:cs="Times New Roman"/>
          <w:position w:val="-1"/>
          <w:sz w:val="24"/>
          <w:lang w:bidi="ar"/>
        </w:rPr>
        <w:t>。</w:t>
      </w:r>
    </w:p>
    <w:p>
      <w:pPr>
        <w:spacing w:line="360" w:lineRule="auto"/>
        <w:ind w:firstLine="480" w:firstLineChars="200"/>
        <w:rPr>
          <w:rFonts w:ascii="Times New Roman" w:hAnsi="Times New Roman" w:eastAsia="宋体" w:cs="Times New Roman"/>
          <w:position w:val="-1"/>
          <w:sz w:val="24"/>
          <w:lang w:bidi="ar"/>
        </w:rPr>
      </w:pPr>
      <w:r>
        <w:rPr>
          <w:rFonts w:hint="eastAsia" w:ascii="Times New Roman" w:hAnsi="Times New Roman" w:eastAsia="宋体" w:cs="Times New Roman"/>
          <w:position w:val="-1"/>
          <w:sz w:val="24"/>
          <w:lang w:bidi="ar"/>
        </w:rPr>
        <w:t>本行环境风险控制良好，“两高一剩”贷款余额持续下降，截至</w:t>
      </w:r>
      <w:r>
        <w:rPr>
          <w:rFonts w:ascii="Times New Roman" w:hAnsi="Times New Roman" w:eastAsia="宋体" w:cs="Times New Roman"/>
          <w:position w:val="-1"/>
          <w:sz w:val="24"/>
          <w:lang w:bidi="ar"/>
        </w:rPr>
        <w:t>2022</w:t>
      </w:r>
      <w:r>
        <w:rPr>
          <w:rFonts w:hint="eastAsia" w:ascii="Times New Roman" w:hAnsi="Times New Roman" w:eastAsia="宋体" w:cs="Times New Roman"/>
          <w:position w:val="-1"/>
          <w:sz w:val="24"/>
          <w:lang w:bidi="ar"/>
        </w:rPr>
        <w:t>年末，“两高一剩”贷款余额</w:t>
      </w:r>
      <w:r>
        <w:rPr>
          <w:rFonts w:hint="eastAsia" w:ascii="Times New Roman" w:hAnsi="Times New Roman" w:eastAsia="宋体" w:cs="Times New Roman"/>
          <w:position w:val="-1"/>
          <w:sz w:val="24"/>
          <w:highlight w:val="none"/>
          <w:lang w:val="en-US" w:eastAsia="zh-CN" w:bidi="ar"/>
        </w:rPr>
        <w:t>2.05</w:t>
      </w:r>
      <w:r>
        <w:rPr>
          <w:rFonts w:hint="eastAsia" w:ascii="Times New Roman" w:hAnsi="Times New Roman" w:eastAsia="宋体" w:cs="Times New Roman"/>
          <w:position w:val="-1"/>
          <w:sz w:val="24"/>
          <w:highlight w:val="none"/>
          <w:lang w:bidi="ar"/>
        </w:rPr>
        <w:t>亿元</w:t>
      </w:r>
      <w:r>
        <w:rPr>
          <w:rFonts w:hint="eastAsia" w:ascii="Times New Roman" w:hAnsi="Times New Roman" w:eastAsia="宋体" w:cs="Times New Roman"/>
          <w:position w:val="-1"/>
          <w:sz w:val="24"/>
          <w:lang w:bidi="ar"/>
        </w:rPr>
        <w:t>，较</w:t>
      </w:r>
      <w:r>
        <w:rPr>
          <w:rFonts w:hint="eastAsia" w:ascii="Times New Roman" w:hAnsi="Times New Roman" w:eastAsia="宋体" w:cs="Times New Roman"/>
          <w:position w:val="-1"/>
          <w:sz w:val="24"/>
          <w:lang w:eastAsia="zh-Hans" w:bidi="ar"/>
        </w:rPr>
        <w:t>上</w:t>
      </w:r>
      <w:bookmarkStart w:id="321" w:name="_GoBack"/>
      <w:bookmarkEnd w:id="321"/>
      <w:r>
        <w:rPr>
          <w:rFonts w:hint="eastAsia" w:ascii="Times New Roman" w:hAnsi="Times New Roman" w:eastAsia="宋体" w:cs="Times New Roman"/>
          <w:position w:val="-1"/>
          <w:sz w:val="24"/>
          <w:lang w:eastAsia="zh-Hans" w:bidi="ar"/>
        </w:rPr>
        <w:t>一年</w:t>
      </w:r>
      <w:r>
        <w:rPr>
          <w:rFonts w:hint="eastAsia" w:ascii="Times New Roman" w:hAnsi="Times New Roman" w:eastAsia="宋体" w:cs="Times New Roman"/>
          <w:position w:val="-1"/>
          <w:sz w:val="24"/>
          <w:lang w:bidi="ar"/>
        </w:rPr>
        <w:t>减少</w:t>
      </w:r>
      <w:r>
        <w:rPr>
          <w:rFonts w:ascii="Times New Roman" w:hAnsi="Times New Roman" w:eastAsia="宋体" w:cs="Times New Roman"/>
          <w:position w:val="-1"/>
          <w:sz w:val="24"/>
          <w:lang w:bidi="ar"/>
        </w:rPr>
        <w:t>0.65</w:t>
      </w:r>
      <w:r>
        <w:rPr>
          <w:rFonts w:hint="eastAsia" w:ascii="Times New Roman" w:hAnsi="Times New Roman" w:eastAsia="宋体" w:cs="Times New Roman"/>
          <w:position w:val="-1"/>
          <w:sz w:val="24"/>
          <w:lang w:bidi="ar"/>
        </w:rPr>
        <w:t>亿元，降幅为</w:t>
      </w:r>
      <w:r>
        <w:rPr>
          <w:rFonts w:ascii="Times New Roman" w:hAnsi="Times New Roman" w:eastAsia="宋体" w:cs="Times New Roman"/>
          <w:position w:val="-1"/>
          <w:sz w:val="24"/>
          <w:lang w:bidi="ar"/>
        </w:rPr>
        <w:t>24.12%</w:t>
      </w:r>
      <w:r>
        <w:rPr>
          <w:rFonts w:hint="eastAsia" w:ascii="Times New Roman" w:hAnsi="Times New Roman" w:eastAsia="宋体" w:cs="Times New Roman"/>
          <w:position w:val="-1"/>
          <w:sz w:val="24"/>
          <w:lang w:bidi="ar"/>
        </w:rPr>
        <w:t>。绿色信贷不良率为</w:t>
      </w:r>
      <w:r>
        <w:rPr>
          <w:rFonts w:ascii="Times New Roman" w:hAnsi="Times New Roman" w:eastAsia="宋体" w:cs="Times New Roman"/>
          <w:position w:val="-1"/>
          <w:sz w:val="24"/>
          <w:lang w:bidi="ar"/>
        </w:rPr>
        <w:t>0%</w:t>
      </w:r>
      <w:r>
        <w:rPr>
          <w:rFonts w:hint="eastAsia" w:ascii="Times New Roman" w:hAnsi="Times New Roman" w:eastAsia="宋体" w:cs="Times New Roman"/>
          <w:position w:val="-1"/>
          <w:sz w:val="24"/>
          <w:lang w:bidi="ar"/>
        </w:rPr>
        <w:t>。</w:t>
      </w:r>
    </w:p>
    <w:p>
      <w:pPr>
        <w:spacing w:line="360" w:lineRule="auto"/>
        <w:ind w:firstLine="480" w:firstLineChars="200"/>
        <w:rPr>
          <w:rFonts w:ascii="Times New Roman" w:hAnsi="Times New Roman" w:eastAsia="宋体" w:cs="Times New Roman"/>
          <w:position w:val="-1"/>
          <w:sz w:val="24"/>
          <w:lang w:bidi="ar"/>
        </w:rPr>
      </w:pPr>
      <w:r>
        <w:rPr>
          <w:rFonts w:hint="eastAsia" w:ascii="Times New Roman" w:hAnsi="Times New Roman" w:eastAsia="宋体" w:cs="Times New Roman"/>
          <w:position w:val="-1"/>
          <w:sz w:val="24"/>
          <w:lang w:bidi="ar"/>
        </w:rPr>
        <w:t>本行积极投资绿色债券，截至</w:t>
      </w:r>
      <w:r>
        <w:rPr>
          <w:rFonts w:ascii="Times New Roman" w:hAnsi="Times New Roman" w:eastAsia="宋体" w:cs="Times New Roman"/>
          <w:position w:val="-1"/>
          <w:sz w:val="24"/>
          <w:lang w:bidi="ar"/>
        </w:rPr>
        <w:t>2022</w:t>
      </w:r>
      <w:r>
        <w:rPr>
          <w:rFonts w:hint="eastAsia" w:ascii="Times New Roman" w:hAnsi="Times New Roman" w:eastAsia="宋体" w:cs="Times New Roman"/>
          <w:position w:val="-1"/>
          <w:sz w:val="24"/>
          <w:lang w:bidi="ar"/>
        </w:rPr>
        <w:t>年末，本行持有绿色债券余额</w:t>
      </w:r>
      <w:r>
        <w:rPr>
          <w:rFonts w:ascii="Times New Roman" w:hAnsi="Times New Roman" w:eastAsia="宋体" w:cs="Times New Roman"/>
          <w:position w:val="-1"/>
          <w:sz w:val="24"/>
          <w:lang w:bidi="ar"/>
        </w:rPr>
        <w:t>1.79</w:t>
      </w:r>
      <w:r>
        <w:rPr>
          <w:rFonts w:hint="eastAsia" w:ascii="Times New Roman" w:hAnsi="Times New Roman" w:eastAsia="宋体" w:cs="Times New Roman"/>
          <w:position w:val="-1"/>
          <w:sz w:val="24"/>
          <w:lang w:bidi="ar"/>
        </w:rPr>
        <w:t>亿元。</w:t>
      </w:r>
    </w:p>
    <w:p>
      <w:pPr>
        <w:pStyle w:val="2"/>
        <w:spacing w:line="360" w:lineRule="auto"/>
        <w:ind w:left="0" w:leftChars="0" w:firstLine="0" w:firstLineChars="0"/>
        <w:jc w:val="center"/>
        <w:rPr>
          <w:rFonts w:hint="default" w:ascii="Times New Roman" w:hAnsi="Times New Roman" w:eastAsia="黑体" w:cs="宋体"/>
        </w:rPr>
      </w:pPr>
      <w:bookmarkStart w:id="47" w:name="_Toc7816"/>
      <w:bookmarkStart w:id="48" w:name="_Toc3372"/>
      <w:bookmarkStart w:id="49" w:name="_Toc30490"/>
      <w:bookmarkStart w:id="50" w:name="_Toc13997"/>
      <w:bookmarkStart w:id="51" w:name="_Toc28970"/>
      <w:bookmarkStart w:id="52" w:name="_Toc29677"/>
      <w:bookmarkStart w:id="53" w:name="_Toc30789"/>
      <w:r>
        <w:rPr>
          <w:rFonts w:ascii="Times New Roman" w:hAnsi="Times New Roman" w:eastAsia="黑体" w:cs="宋体"/>
        </w:rPr>
        <w:t>表</w:t>
      </w:r>
      <w:r>
        <w:rPr>
          <w:rFonts w:ascii="Times New Roman" w:hAnsi="Times New Roman" w:eastAsia="黑体" w:cs="宋体"/>
        </w:rPr>
        <w:fldChar w:fldCharType="begin"/>
      </w:r>
      <w:r>
        <w:rPr>
          <w:rFonts w:hint="default" w:ascii="Times New Roman" w:hAnsi="Times New Roman" w:eastAsia="黑体" w:cs="宋体"/>
        </w:rPr>
        <w:instrText xml:space="preserve"> SEQ </w:instrText>
      </w:r>
      <w:r>
        <w:rPr>
          <w:rFonts w:ascii="Times New Roman" w:hAnsi="Times New Roman" w:eastAsia="黑体" w:cs="宋体"/>
        </w:rPr>
        <w:instrText xml:space="preserve">表</w:instrText>
      </w:r>
      <w:r>
        <w:rPr>
          <w:rFonts w:hint="default" w:ascii="Times New Roman" w:hAnsi="Times New Roman" w:eastAsia="黑体" w:cs="宋体"/>
        </w:rPr>
        <w:instrText xml:space="preserve"> \* ARABIC </w:instrText>
      </w:r>
      <w:r>
        <w:rPr>
          <w:rFonts w:ascii="Times New Roman" w:hAnsi="Times New Roman" w:eastAsia="黑体" w:cs="宋体"/>
        </w:rPr>
        <w:fldChar w:fldCharType="separate"/>
      </w:r>
      <w:r>
        <w:rPr>
          <w:rFonts w:hint="default" w:ascii="Times New Roman" w:hAnsi="Times New Roman" w:eastAsia="黑体" w:cs="宋体"/>
        </w:rPr>
        <w:t>1</w:t>
      </w:r>
      <w:r>
        <w:rPr>
          <w:rFonts w:ascii="Times New Roman" w:hAnsi="Times New Roman" w:eastAsia="黑体" w:cs="宋体"/>
        </w:rPr>
        <w:fldChar w:fldCharType="end"/>
      </w:r>
      <w:bookmarkStart w:id="54" w:name="_Toc29662"/>
      <w:r>
        <w:rPr>
          <w:rFonts w:hint="default" w:ascii="Times New Roman" w:hAnsi="Times New Roman" w:eastAsia="黑体" w:cs="宋体"/>
        </w:rPr>
        <w:t>-1</w:t>
      </w:r>
      <w:r>
        <w:rPr>
          <w:rFonts w:ascii="Times New Roman" w:hAnsi="Times New Roman" w:eastAsia="黑体" w:cs="宋体"/>
        </w:rPr>
        <w:t>：</w:t>
      </w:r>
      <w:bookmarkEnd w:id="47"/>
      <w:bookmarkEnd w:id="48"/>
      <w:bookmarkEnd w:id="49"/>
      <w:bookmarkEnd w:id="50"/>
      <w:bookmarkEnd w:id="51"/>
      <w:bookmarkEnd w:id="52"/>
      <w:bookmarkEnd w:id="54"/>
      <w:r>
        <w:rPr>
          <w:rFonts w:ascii="Times New Roman" w:hAnsi="Times New Roman" w:eastAsia="黑体" w:cs="宋体"/>
        </w:rPr>
        <w:t>江门农商银行环境相关成果和绩效</w:t>
      </w:r>
      <w:bookmarkEnd w:id="53"/>
    </w:p>
    <w:tbl>
      <w:tblPr>
        <w:tblStyle w:val="23"/>
        <w:tblW w:w="5000" w:type="pct"/>
        <w:jc w:val="center"/>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Layout w:type="fixed"/>
        <w:tblCellMar>
          <w:top w:w="0" w:type="dxa"/>
          <w:left w:w="108" w:type="dxa"/>
          <w:bottom w:w="0" w:type="dxa"/>
          <w:right w:w="108" w:type="dxa"/>
        </w:tblCellMar>
      </w:tblPr>
      <w:tblGrid>
        <w:gridCol w:w="830"/>
        <w:gridCol w:w="1972"/>
        <w:gridCol w:w="997"/>
        <w:gridCol w:w="1680"/>
        <w:gridCol w:w="1726"/>
        <w:gridCol w:w="1317"/>
      </w:tblGrid>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544" w:hRule="atLeast"/>
          <w:tblHeader/>
          <w:jc w:val="center"/>
        </w:trPr>
        <w:tc>
          <w:tcPr>
            <w:tcW w:w="830"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类别</w:t>
            </w: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环境相关指标</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单位</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2021</w:t>
            </w:r>
            <w:r>
              <w:rPr>
                <w:rFonts w:hint="eastAsia" w:ascii="Times New Roman" w:hAnsi="Times New Roman" w:eastAsia="宋体" w:cs="Times New Roman"/>
                <w:b/>
                <w:bCs/>
                <w:color w:val="FFFFFF" w:themeColor="background1"/>
                <w:szCs w:val="21"/>
                <w14:textFill>
                  <w14:solidFill>
                    <w14:schemeClr w14:val="bg1"/>
                  </w14:solidFill>
                </w14:textFill>
              </w:rPr>
              <w:t>年</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2022</w:t>
            </w:r>
            <w:r>
              <w:rPr>
                <w:rFonts w:hint="eastAsia" w:ascii="Times New Roman" w:hAnsi="Times New Roman" w:eastAsia="宋体" w:cs="Times New Roman"/>
                <w:b/>
                <w:bCs/>
                <w:color w:val="FFFFFF" w:themeColor="background1"/>
                <w:szCs w:val="21"/>
                <w14:textFill>
                  <w14:solidFill>
                    <w14:schemeClr w14:val="bg1"/>
                  </w14:solidFill>
                </w14:textFill>
              </w:rPr>
              <w:t>年</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变化趋势</w:t>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528" w:hRule="atLeast"/>
          <w:jc w:val="center"/>
        </w:trPr>
        <w:tc>
          <w:tcPr>
            <w:tcW w:w="830" w:type="dxa"/>
            <w:vMerge w:val="restart"/>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b/>
                <w:bCs/>
                <w:szCs w:val="21"/>
              </w:rPr>
            </w:pPr>
            <w:bookmarkStart w:id="55" w:name="_Hlk96277188"/>
            <w:r>
              <w:rPr>
                <w:rFonts w:ascii="Times New Roman" w:hAnsi="Times New Roman" w:eastAsia="宋体" w:cs="Times New Roman"/>
                <w:b/>
                <w:bCs/>
                <w:szCs w:val="21"/>
              </w:rPr>
              <w:t>绿色金融</w:t>
            </w:r>
            <w:r>
              <w:rPr>
                <w:rFonts w:hint="eastAsia" w:ascii="Times New Roman" w:hAnsi="Times New Roman" w:eastAsia="宋体" w:cs="Times New Roman"/>
                <w:b/>
                <w:bCs/>
                <w:szCs w:val="21"/>
              </w:rPr>
              <w:t>业务</w:t>
            </w:r>
          </w:p>
        </w:tc>
        <w:tc>
          <w:tcPr>
            <w:tcW w:w="1972" w:type="dxa"/>
            <w:tcBorders>
              <w:top w:val="single" w:color="2E75B6" w:sz="8" w:space="0"/>
              <w:left w:val="single" w:color="2E75B6" w:sz="8" w:space="0"/>
              <w:bottom w:val="single" w:color="2E75B6" w:sz="8" w:space="0"/>
              <w:right w:val="single" w:color="2E75B6" w:sz="8" w:space="0"/>
              <w:tl2br w:val="nil"/>
              <w:tr2bl w:val="nil"/>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绿色</w:t>
            </w:r>
            <w:r>
              <w:rPr>
                <w:rFonts w:hint="eastAsia" w:ascii="Times New Roman" w:hAnsi="Times New Roman" w:eastAsia="宋体" w:cs="Times New Roman"/>
                <w:szCs w:val="21"/>
              </w:rPr>
              <w:t>贷款</w:t>
            </w:r>
            <w:r>
              <w:rPr>
                <w:rFonts w:ascii="Times New Roman" w:hAnsi="Times New Roman" w:eastAsia="宋体" w:cs="Times New Roman"/>
                <w:szCs w:val="21"/>
              </w:rPr>
              <w:t>余额</w:t>
            </w:r>
          </w:p>
        </w:tc>
        <w:tc>
          <w:tcPr>
            <w:tcW w:w="997" w:type="dxa"/>
            <w:tcBorders>
              <w:top w:val="single" w:color="2E75B6" w:sz="8" w:space="0"/>
              <w:left w:val="single" w:color="2E75B6" w:sz="8" w:space="0"/>
              <w:bottom w:val="single" w:color="2E75B6" w:sz="8" w:space="0"/>
              <w:right w:val="single" w:color="2E75B6" w:sz="8" w:space="0"/>
              <w:tl2br w:val="nil"/>
              <w:tr2bl w:val="nil"/>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亿元</w:t>
            </w:r>
          </w:p>
        </w:tc>
        <w:tc>
          <w:tcPr>
            <w:tcW w:w="1680" w:type="dxa"/>
            <w:tcBorders>
              <w:top w:val="single" w:color="2E75B6" w:sz="8" w:space="0"/>
              <w:left w:val="single" w:color="2E75B6" w:sz="8" w:space="0"/>
              <w:bottom w:val="single" w:color="2E75B6" w:sz="8" w:space="0"/>
              <w:right w:val="single" w:color="2E75B6" w:sz="8" w:space="0"/>
              <w:tl2br w:val="nil"/>
              <w:tr2bl w:val="nil"/>
            </w:tcBorders>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8</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00</w:t>
            </w:r>
          </w:p>
        </w:tc>
        <w:tc>
          <w:tcPr>
            <w:tcW w:w="1726" w:type="dxa"/>
            <w:tcBorders>
              <w:top w:val="single" w:color="2E75B6" w:sz="8" w:space="0"/>
              <w:left w:val="single" w:color="2E75B6" w:sz="8" w:space="0"/>
              <w:bottom w:val="single" w:color="2E75B6" w:sz="8" w:space="0"/>
              <w:right w:val="single" w:color="2E75B6" w:sz="8" w:space="0"/>
              <w:tl2br w:val="nil"/>
              <w:tr2bl w:val="nil"/>
            </w:tcBorders>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11</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22</w:t>
            </w:r>
          </w:p>
        </w:tc>
        <w:tc>
          <w:tcPr>
            <w:tcW w:w="1317" w:type="dxa"/>
            <w:tcBorders>
              <w:top w:val="single" w:color="2E75B6" w:sz="8" w:space="0"/>
              <w:left w:val="single" w:color="2E75B6" w:sz="8" w:space="0"/>
              <w:bottom w:val="single" w:color="2E75B6" w:sz="8" w:space="0"/>
              <w:right w:val="single" w:color="2E75B6" w:sz="8" w:space="0"/>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b/>
                <w:bCs/>
                <w:color w:val="000000"/>
                <w:szCs w:val="21"/>
                <w:shd w:val="clear" w:color="auto" w:fill="FFFFFF"/>
              </w:rPr>
              <w:drawing>
                <wp:inline distT="0" distB="0" distL="0" distR="0">
                  <wp:extent cx="359410" cy="359410"/>
                  <wp:effectExtent l="0" t="0" r="21590" b="22225"/>
                  <wp:docPr id="17" name="图形 9" descr="/private/var/folders/5s/w1hg5qgj40z3q53pkqck4l140000gn/T/com.kingsoft.wpsoffice.mac/photoedit2/20230403211706/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形 9" descr="/private/var/folders/5s/w1hg5qgj40z3q53pkqck4l140000gn/T/com.kingsoft.wpsoffice.mac/photoedit2/20230403211706/temp.pngtemp"/>
                          <pic:cNvPicPr>
                            <a:picLocks noChangeAspect="1"/>
                          </pic:cNvPicPr>
                        </pic:nvPicPr>
                        <pic:blipFill>
                          <a:blip r:embed="rId17">
                            <a:lum contrast="-36000"/>
                          </a:blip>
                          <a:stretch>
                            <a:fillRect/>
                          </a:stretch>
                        </pic:blipFill>
                        <pic:spPr>
                          <a:xfrm>
                            <a:off x="0" y="0"/>
                            <a:ext cx="359410" cy="359410"/>
                          </a:xfrm>
                          <a:prstGeom prst="rect">
                            <a:avLst/>
                          </a:prstGeom>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789"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b/>
                <w:bCs/>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绿色贷款</w:t>
            </w:r>
            <w:r>
              <w:rPr>
                <w:rFonts w:hint="eastAsia" w:ascii="Times New Roman" w:hAnsi="Times New Roman" w:eastAsia="宋体" w:cs="Times New Roman"/>
                <w:szCs w:val="21"/>
                <w:lang w:eastAsia="zh-Hans"/>
              </w:rPr>
              <w:t>余额</w:t>
            </w:r>
            <w:r>
              <w:rPr>
                <w:rFonts w:hint="eastAsia" w:ascii="Times New Roman" w:hAnsi="Times New Roman" w:eastAsia="宋体" w:cs="Times New Roman"/>
                <w:szCs w:val="21"/>
              </w:rPr>
              <w:t>占比</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Hans"/>
              </w:rPr>
              <w:t>百分比</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1</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28</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1</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58</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center"/>
              <w:rPr>
                <w:rFonts w:ascii="Times New Roman" w:hAnsi="Times New Roman"/>
              </w:rPr>
            </w:pPr>
            <w:r>
              <w:rPr>
                <w:rFonts w:ascii="Times New Roman" w:hAnsi="Times New Roman"/>
              </w:rPr>
              <w:drawing>
                <wp:inline distT="0" distB="0" distL="0" distR="0">
                  <wp:extent cx="359410" cy="359410"/>
                  <wp:effectExtent l="0" t="0" r="2540" b="2540"/>
                  <wp:docPr id="6057557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55729"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9410" cy="359410"/>
                          </a:xfrm>
                          <a:prstGeom prst="rect">
                            <a:avLst/>
                          </a:prstGeom>
                          <a:noFill/>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789"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b/>
                <w:bCs/>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持有绿色债券规模</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亿元</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5</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70</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1</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80</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rPr>
              <w:drawing>
                <wp:inline distT="0" distB="0" distL="114300" distR="114300">
                  <wp:extent cx="395605" cy="409575"/>
                  <wp:effectExtent l="0" t="0" r="10795" b="0"/>
                  <wp:docPr id="13" name="图片 3" descr="/private/var/folders/5s/w1hg5qgj40z3q53pkqck4l140000gn/T/com.kingsoft.wpsoffice.mac/photoedit2/20230403211830/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private/var/folders/5s/w1hg5qgj40z3q53pkqck4l140000gn/T/com.kingsoft.wpsoffice.mac/photoedit2/20230403211830/temp.pngtemp"/>
                          <pic:cNvPicPr>
                            <a:picLocks noChangeAspect="1"/>
                          </pic:cNvPicPr>
                        </pic:nvPicPr>
                        <pic:blipFill>
                          <a:blip r:embed="rId19"/>
                          <a:stretch>
                            <a:fillRect/>
                          </a:stretch>
                        </pic:blipFill>
                        <pic:spPr>
                          <a:xfrm>
                            <a:off x="0" y="0"/>
                            <a:ext cx="395605" cy="409575"/>
                          </a:xfrm>
                          <a:prstGeom prst="rect">
                            <a:avLst/>
                          </a:prstGeom>
                          <a:noFill/>
                          <a:ln>
                            <a:noFill/>
                          </a:ln>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661" w:hRule="atLeast"/>
          <w:jc w:val="center"/>
        </w:trPr>
        <w:tc>
          <w:tcPr>
            <w:tcW w:w="830" w:type="dxa"/>
            <w:vMerge w:val="restart"/>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绿色办公活动</w:t>
            </w: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营业、办公活动的用水量</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Hans"/>
              </w:rPr>
              <w:t>万</w:t>
            </w:r>
            <w:r>
              <w:rPr>
                <w:rFonts w:ascii="Times New Roman" w:hAnsi="Times New Roman" w:eastAsia="宋体" w:cs="Times New Roman"/>
                <w:szCs w:val="21"/>
              </w:rPr>
              <w:t>吨</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2.87</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2</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87</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982"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营业、办公活动的用电量</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Hans"/>
              </w:rPr>
              <w:t>兆</w:t>
            </w:r>
            <w:r>
              <w:rPr>
                <w:rFonts w:ascii="Times New Roman" w:hAnsi="Times New Roman" w:eastAsia="宋体" w:cs="Times New Roman"/>
                <w:szCs w:val="21"/>
              </w:rPr>
              <w:t>瓦时</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714.00</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776</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61</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359410" cy="359410"/>
                  <wp:effectExtent l="0" t="0" r="2540" b="2540"/>
                  <wp:docPr id="1987288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88353"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9410" cy="359410"/>
                          </a:xfrm>
                          <a:prstGeom prst="rect">
                            <a:avLst/>
                          </a:prstGeom>
                          <a:noFill/>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1002"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营业、办公活动的用油量</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Hans"/>
              </w:rPr>
              <w:t>万</w:t>
            </w:r>
            <w:r>
              <w:rPr>
                <w:rFonts w:ascii="Times New Roman" w:hAnsi="Times New Roman" w:eastAsia="宋体" w:cs="Times New Roman"/>
                <w:szCs w:val="21"/>
              </w:rPr>
              <w:t>升</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lang w:eastAsia="zh-Hans"/>
              </w:rPr>
              <w:t>9</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34</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8</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48</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396240" cy="408305"/>
                  <wp:effectExtent l="0" t="0" r="3810" b="0"/>
                  <wp:docPr id="21104130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13058"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6240" cy="408305"/>
                          </a:xfrm>
                          <a:prstGeom prst="rect">
                            <a:avLst/>
                          </a:prstGeom>
                          <a:noFill/>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661"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ascii="Times New Roman" w:hAnsi="Times New Roman" w:eastAsia="宋体" w:cs="Times New Roman"/>
                <w:color w:val="000000"/>
                <w:szCs w:val="21"/>
                <w:shd w:val="clear" w:color="auto" w:fill="FFFFFF"/>
              </w:rPr>
              <w:t>营业、办公活动的用气量</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ascii="Times New Roman" w:hAnsi="Times New Roman" w:eastAsia="宋体" w:cs="Times New Roman"/>
                <w:color w:val="000000"/>
                <w:szCs w:val="21"/>
                <w:shd w:val="clear" w:color="auto" w:fill="FFFFFF"/>
              </w:rPr>
              <w:t>立方米</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2,052.6</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2,102.6</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center"/>
              <w:rPr>
                <w:rFonts w:ascii="Times New Roman" w:hAnsi="Times New Roman"/>
              </w:rPr>
            </w:pPr>
            <w:r>
              <w:rPr>
                <w:rFonts w:ascii="Times New Roman" w:hAnsi="Times New Roman" w:eastAsia="宋体" w:cs="Times New Roman"/>
                <w:szCs w:val="21"/>
              </w:rPr>
              <w:drawing>
                <wp:inline distT="0" distB="0" distL="0" distR="0">
                  <wp:extent cx="359410" cy="359410"/>
                  <wp:effectExtent l="0" t="0" r="254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9410" cy="359410"/>
                          </a:xfrm>
                          <a:prstGeom prst="rect">
                            <a:avLst/>
                          </a:prstGeom>
                          <a:noFill/>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982"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营业、办公活动的用纸量</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万张</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180.00</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right"/>
              <w:rPr>
                <w:rFonts w:ascii="Times New Roman" w:hAnsi="Times New Roman" w:eastAsia="宋体" w:cs="Times New Roman"/>
                <w:szCs w:val="21"/>
                <w:lang w:eastAsia="zh-Hans"/>
              </w:rPr>
            </w:pPr>
            <w:r>
              <w:rPr>
                <w:rFonts w:ascii="Times New Roman" w:hAnsi="Times New Roman" w:eastAsia="宋体" w:cs="Times New Roman"/>
                <w:szCs w:val="21"/>
              </w:rPr>
              <w:t>168</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25</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rPr>
              <w:drawing>
                <wp:inline distT="0" distB="0" distL="114300" distR="114300">
                  <wp:extent cx="395605" cy="409575"/>
                  <wp:effectExtent l="0" t="0" r="10795" b="0"/>
                  <wp:docPr id="28" name="图片 3" descr="/private/var/folders/5s/w1hg5qgj40z3q53pkqck4l140000gn/T/com.kingsoft.wpsoffice.mac/photoedit2/20230403211830/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private/var/folders/5s/w1hg5qgj40z3q53pkqck4l140000gn/T/com.kingsoft.wpsoffice.mac/photoedit2/20230403211830/temp.pngtemp"/>
                          <pic:cNvPicPr>
                            <a:picLocks noChangeAspect="1"/>
                          </pic:cNvPicPr>
                        </pic:nvPicPr>
                        <pic:blipFill>
                          <a:blip r:embed="rId19"/>
                          <a:stretch>
                            <a:fillRect/>
                          </a:stretch>
                        </pic:blipFill>
                        <pic:spPr>
                          <a:xfrm>
                            <a:off x="0" y="0"/>
                            <a:ext cx="395605" cy="409575"/>
                          </a:xfrm>
                          <a:prstGeom prst="rect">
                            <a:avLst/>
                          </a:prstGeom>
                          <a:noFill/>
                          <a:ln>
                            <a:noFill/>
                          </a:ln>
                        </pic:spPr>
                      </pic:pic>
                    </a:graphicData>
                  </a:graphic>
                </wp:inline>
              </w:drawing>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982" w:hRule="atLeast"/>
          <w:jc w:val="center"/>
        </w:trPr>
        <w:tc>
          <w:tcPr>
            <w:tcW w:w="830" w:type="dxa"/>
            <w:vMerge w:val="continue"/>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p>
        </w:tc>
        <w:tc>
          <w:tcPr>
            <w:tcW w:w="1972"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温室气体排放总量</w:t>
            </w:r>
          </w:p>
        </w:tc>
        <w:tc>
          <w:tcPr>
            <w:tcW w:w="99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吨二氧化碳当量</w:t>
            </w:r>
          </w:p>
        </w:tc>
        <w:tc>
          <w:tcPr>
            <w:tcW w:w="1680"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hint="eastAsia" w:ascii="Times New Roman" w:hAnsi="Times New Roman" w:eastAsia="宋体" w:cs="Times New Roman"/>
                <w:szCs w:val="21"/>
                <w:highlight w:val="none"/>
                <w:lang w:val="en-US" w:eastAsia="zh-Hans"/>
              </w:rPr>
            </w:pPr>
            <w:r>
              <w:rPr>
                <w:rFonts w:hint="eastAsia" w:ascii="Times New Roman" w:hAnsi="Times New Roman" w:eastAsia="宋体" w:cs="Times New Roman"/>
                <w:szCs w:val="21"/>
                <w:highlight w:val="none"/>
                <w:lang w:val="en-US" w:eastAsia="zh-CN"/>
              </w:rPr>
              <w:t>48,268.31</w:t>
            </w:r>
          </w:p>
        </w:tc>
        <w:tc>
          <w:tcPr>
            <w:tcW w:w="1726"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right"/>
              <w:rPr>
                <w:rFonts w:hint="eastAsia" w:ascii="Times New Roman" w:hAnsi="Times New Roman" w:eastAsia="宋体" w:cs="Times New Roman"/>
                <w:szCs w:val="21"/>
                <w:highlight w:val="none"/>
                <w:lang w:val="en-US" w:eastAsia="zh-Hans"/>
              </w:rPr>
            </w:pPr>
            <w:r>
              <w:rPr>
                <w:rFonts w:hint="eastAsia" w:ascii="Times New Roman" w:hAnsi="Times New Roman" w:eastAsia="宋体" w:cs="Times New Roman"/>
                <w:szCs w:val="21"/>
                <w:highlight w:val="none"/>
                <w:lang w:val="en-US" w:eastAsia="zh-CN"/>
              </w:rPr>
              <w:t>49,083.72</w:t>
            </w:r>
          </w:p>
        </w:tc>
        <w:tc>
          <w:tcPr>
            <w:tcW w:w="1317" w:type="dxa"/>
            <w:tcBorders>
              <w:top w:val="single" w:color="2E75B6" w:sz="8" w:space="0"/>
              <w:left w:val="single" w:color="2E75B6" w:sz="8" w:space="0"/>
              <w:bottom w:val="single" w:color="2E75B6" w:sz="8" w:space="0"/>
              <w:right w:val="single" w:color="2E75B6" w:sz="8" w:space="0"/>
              <w:tl2br w:val="nil"/>
              <w:tr2bl w:val="nil"/>
            </w:tcBorders>
            <w:shd w:val="clear" w:color="auto" w:fill="DEEBF6" w:themeFill="accent5" w:themeFillTint="32"/>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drawing>
                <wp:inline distT="0" distB="0" distL="0" distR="0">
                  <wp:extent cx="359410" cy="359410"/>
                  <wp:effectExtent l="0" t="0" r="2540" b="2540"/>
                  <wp:docPr id="1850856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56100"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9410" cy="359410"/>
                          </a:xfrm>
                          <a:prstGeom prst="rect">
                            <a:avLst/>
                          </a:prstGeom>
                          <a:noFill/>
                        </pic:spPr>
                      </pic:pic>
                    </a:graphicData>
                  </a:graphic>
                </wp:inline>
              </w:drawing>
            </w:r>
          </w:p>
        </w:tc>
      </w:tr>
      <w:bookmarkEnd w:id="55"/>
    </w:tbl>
    <w:p>
      <w:pPr>
        <w:spacing w:line="360" w:lineRule="auto"/>
        <w:ind w:firstLine="420" w:firstLineChars="200"/>
        <w:rPr>
          <w:rFonts w:ascii="宋体" w:hAnsi="宋体" w:eastAsia="宋体" w:cs="Times New Roman"/>
          <w:szCs w:val="21"/>
          <w:lang w:eastAsia="zh-Hans"/>
        </w:rPr>
      </w:pPr>
      <w:r>
        <w:rPr>
          <w:rFonts w:hint="eastAsia" w:ascii="宋体" w:hAnsi="宋体" w:eastAsia="宋体" w:cs="Times New Roman"/>
          <w:szCs w:val="21"/>
        </w:rPr>
        <w:t>注：</w:t>
      </w:r>
      <w:r>
        <w:rPr>
          <w:rFonts w:hint="eastAsia" w:ascii="宋体" w:hAnsi="宋体" w:eastAsia="宋体" w:cs="Times New Roman"/>
          <w:szCs w:val="21"/>
          <w:lang w:eastAsia="zh-Hans"/>
        </w:rPr>
        <w:t>表内数据统计口径为</w:t>
      </w:r>
      <w:r>
        <w:rPr>
          <w:rFonts w:ascii="宋体" w:hAnsi="宋体" w:eastAsia="宋体" w:cs="Times New Roman"/>
          <w:szCs w:val="21"/>
        </w:rPr>
        <w:t>2021</w:t>
      </w:r>
      <w:r>
        <w:rPr>
          <w:rFonts w:hint="eastAsia" w:ascii="宋体" w:hAnsi="宋体" w:eastAsia="宋体" w:cs="Times New Roman"/>
          <w:szCs w:val="21"/>
        </w:rPr>
        <w:t>年度、</w:t>
      </w:r>
      <w:r>
        <w:rPr>
          <w:rFonts w:ascii="宋体" w:hAnsi="宋体" w:eastAsia="宋体" w:cs="Times New Roman"/>
          <w:szCs w:val="21"/>
        </w:rPr>
        <w:t>2022</w:t>
      </w:r>
      <w:r>
        <w:rPr>
          <w:rFonts w:hint="eastAsia" w:ascii="宋体" w:hAnsi="宋体" w:eastAsia="宋体" w:cs="Times New Roman"/>
          <w:szCs w:val="21"/>
        </w:rPr>
        <w:t>年度</w:t>
      </w:r>
      <w:r>
        <w:rPr>
          <w:rFonts w:hint="eastAsia" w:ascii="宋体" w:hAnsi="宋体" w:eastAsia="宋体" w:cs="Times New Roman"/>
          <w:szCs w:val="21"/>
          <w:lang w:eastAsia="zh-Hans"/>
        </w:rPr>
        <w:t>总行大楼。</w:t>
      </w:r>
    </w:p>
    <w:bookmarkEnd w:id="11"/>
    <w:p>
      <w:pPr>
        <w:pStyle w:val="4"/>
        <w:spacing w:line="360" w:lineRule="auto"/>
        <w:rPr>
          <w:color w:val="2E75B6" w:themeColor="accent5" w:themeShade="BF"/>
        </w:rPr>
      </w:pPr>
      <w:bookmarkStart w:id="56" w:name="_Toc113969314"/>
      <w:bookmarkStart w:id="57" w:name="_Toc25196"/>
      <w:bookmarkStart w:id="58" w:name="_Toc2908"/>
      <w:bookmarkStart w:id="59" w:name="_Toc23341"/>
      <w:bookmarkStart w:id="60" w:name="_Toc23701"/>
      <w:bookmarkStart w:id="61" w:name="_Toc19296"/>
      <w:bookmarkStart w:id="62" w:name="_Toc27826"/>
      <w:r>
        <w:rPr>
          <w:color w:val="2E75B6" w:themeColor="accent5" w:themeShade="BF"/>
        </w:rPr>
        <w:br w:type="page"/>
      </w:r>
    </w:p>
    <w:p>
      <w:pPr>
        <w:pStyle w:val="4"/>
        <w:spacing w:line="360" w:lineRule="auto"/>
        <w:rPr>
          <w:color w:val="2E75B6" w:themeColor="accent5" w:themeShade="BF"/>
        </w:rPr>
      </w:pPr>
      <w:bookmarkStart w:id="63" w:name="_Toc24393"/>
      <w:r>
        <w:rPr>
          <w:rFonts w:hint="eastAsia"/>
          <w:color w:val="2E75B6" w:themeColor="accent5" w:themeShade="BF"/>
        </w:rPr>
        <w:t xml:space="preserve">第二部分 </w:t>
      </w:r>
      <w:bookmarkEnd w:id="56"/>
      <w:r>
        <w:rPr>
          <w:rFonts w:hint="eastAsia"/>
          <w:color w:val="2E75B6" w:themeColor="accent5" w:themeShade="BF"/>
        </w:rPr>
        <w:t>环境相关治理结构</w:t>
      </w:r>
      <w:bookmarkEnd w:id="57"/>
      <w:bookmarkEnd w:id="58"/>
      <w:bookmarkEnd w:id="59"/>
      <w:bookmarkEnd w:id="60"/>
      <w:bookmarkEnd w:id="61"/>
      <w:bookmarkEnd w:id="62"/>
      <w:bookmarkEnd w:id="63"/>
    </w:p>
    <w:p>
      <w:pPr>
        <w:spacing w:line="360" w:lineRule="auto"/>
        <w:rPr>
          <w:rFonts w:ascii="Times New Roman" w:hAnsi="Times New Roman" w:eastAsia="楷体" w:cs="Times New Roman"/>
          <w:color w:val="2E75B6" w:themeColor="accent5" w:themeShade="BF"/>
          <w:sz w:val="32"/>
          <w:szCs w:val="32"/>
        </w:rPr>
      </w:pPr>
    </w:p>
    <w:p>
      <w:pPr>
        <w:spacing w:line="360" w:lineRule="auto"/>
        <w:ind w:firstLine="480" w:firstLineChars="200"/>
        <w:rPr>
          <w:rFonts w:ascii="Times New Roman" w:hAnsi="Times New Roman" w:eastAsia="宋体" w:cs="宋体"/>
          <w:sz w:val="24"/>
          <w:szCs w:val="24"/>
        </w:rPr>
      </w:pPr>
      <w:bookmarkStart w:id="64" w:name="_Toc113969315"/>
      <w:bookmarkStart w:id="65" w:name="_Toc10625"/>
      <w:r>
        <w:rPr>
          <w:rFonts w:hint="eastAsia" w:ascii="Times New Roman" w:hAnsi="Times New Roman" w:eastAsia="宋体" w:cs="宋体"/>
          <w:sz w:val="24"/>
          <w:szCs w:val="24"/>
        </w:rPr>
        <w:t>本行形成了以董事会绿色金融战略为指导、以高管层绿色金融目标为方向</w:t>
      </w:r>
      <w:r>
        <w:rPr>
          <w:rFonts w:ascii="Times New Roman" w:hAnsi="Times New Roman" w:eastAsia="宋体" w:cs="宋体"/>
          <w:sz w:val="24"/>
          <w:szCs w:val="24"/>
        </w:rPr>
        <w:t>，</w:t>
      </w:r>
      <w:r>
        <w:rPr>
          <w:rFonts w:hint="eastAsia" w:ascii="Times New Roman" w:hAnsi="Times New Roman" w:eastAsia="宋体" w:cs="宋体"/>
          <w:sz w:val="24"/>
          <w:szCs w:val="24"/>
        </w:rPr>
        <w:t>以双工作小组绿色金融实务为抓手的环境治理结构。</w:t>
      </w:r>
      <w:bookmarkStart w:id="66" w:name="_Toc1742"/>
    </w:p>
    <w:p>
      <w:pPr>
        <w:pStyle w:val="2"/>
        <w:spacing w:line="360" w:lineRule="auto"/>
        <w:rPr>
          <w:rFonts w:hint="default" w:ascii="Times New Roman" w:hAnsi="Times New Roman"/>
        </w:rPr>
      </w:pPr>
      <w:r>
        <w:rPr>
          <w:rFonts w:hint="default" w:ascii="Times New Roman" w:hAnsi="Times New Roman"/>
        </w:rPr>
        <w:drawing>
          <wp:inline distT="0" distB="0" distL="114300" distR="114300">
            <wp:extent cx="4498975" cy="264922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1"/>
                    <a:stretch>
                      <a:fillRect/>
                    </a:stretch>
                  </pic:blipFill>
                  <pic:spPr>
                    <a:xfrm>
                      <a:off x="0" y="0"/>
                      <a:ext cx="4505142" cy="2653055"/>
                    </a:xfrm>
                    <a:prstGeom prst="rect">
                      <a:avLst/>
                    </a:prstGeom>
                    <a:noFill/>
                    <a:ln>
                      <a:noFill/>
                    </a:ln>
                  </pic:spPr>
                </pic:pic>
              </a:graphicData>
            </a:graphic>
          </wp:inline>
        </w:drawing>
      </w:r>
    </w:p>
    <w:p>
      <w:pPr>
        <w:pStyle w:val="2"/>
        <w:spacing w:line="360" w:lineRule="auto"/>
        <w:ind w:left="0" w:leftChars="0" w:firstLine="0" w:firstLineChars="0"/>
        <w:jc w:val="center"/>
        <w:rPr>
          <w:rFonts w:hint="default" w:ascii="Times New Roman" w:hAnsi="Times New Roman" w:eastAsia="黑体" w:cs="宋体"/>
        </w:rPr>
      </w:pPr>
      <w:r>
        <w:rPr>
          <w:rFonts w:ascii="Times New Roman" w:hAnsi="Times New Roman" w:eastAsia="黑体" w:cs="宋体"/>
        </w:rPr>
        <w:t>图2-1：江门农商银行环境相关治理架构</w:t>
      </w:r>
    </w:p>
    <w:p>
      <w:pPr>
        <w:pStyle w:val="5"/>
        <w:keepNext w:val="0"/>
        <w:keepLines w:val="0"/>
        <w:numPr>
          <w:ilvl w:val="0"/>
          <w:numId w:val="3"/>
        </w:numPr>
        <w:spacing w:line="360" w:lineRule="auto"/>
        <w:jc w:val="both"/>
        <w:rPr>
          <w:rFonts w:cstheme="minorBidi"/>
          <w:bCs w:val="0"/>
          <w:color w:val="2E75B6" w:themeColor="accent5" w:themeShade="BF"/>
        </w:rPr>
      </w:pPr>
      <w:bookmarkStart w:id="67" w:name="_Toc1316"/>
      <w:bookmarkStart w:id="68" w:name="_Toc4043"/>
      <w:bookmarkStart w:id="69" w:name="_Toc18911"/>
      <w:bookmarkStart w:id="70" w:name="_Toc27105"/>
      <w:bookmarkStart w:id="71" w:name="_Toc16505"/>
      <w:r>
        <w:rPr>
          <w:rFonts w:hint="eastAsia" w:cstheme="minorBidi"/>
          <w:bCs w:val="0"/>
          <w:color w:val="2E75B6" w:themeColor="accent5" w:themeShade="BF"/>
        </w:rPr>
        <w:t>董事会层面</w:t>
      </w:r>
      <w:bookmarkEnd w:id="64"/>
      <w:bookmarkEnd w:id="65"/>
      <w:bookmarkEnd w:id="66"/>
      <w:bookmarkEnd w:id="67"/>
      <w:bookmarkEnd w:id="68"/>
      <w:bookmarkEnd w:id="69"/>
      <w:bookmarkEnd w:id="70"/>
      <w:bookmarkEnd w:id="71"/>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position w:val="-1"/>
          <w:sz w:val="24"/>
          <w:lang w:bidi="ar"/>
        </w:rPr>
        <w:t>本行董事会负责确定绿色信贷发展战略，审批高级管理层制定的绿色信贷目标和提交的绿色信贷报告，监督、评估本机构绿色信贷发展战略执行情况。</w:t>
      </w:r>
    </w:p>
    <w:p>
      <w:pPr>
        <w:pStyle w:val="5"/>
        <w:keepNext w:val="0"/>
        <w:keepLines w:val="0"/>
        <w:numPr>
          <w:ilvl w:val="0"/>
          <w:numId w:val="3"/>
        </w:numPr>
        <w:spacing w:line="360" w:lineRule="auto"/>
        <w:jc w:val="both"/>
        <w:rPr>
          <w:rFonts w:cstheme="minorBidi"/>
          <w:bCs w:val="0"/>
          <w:color w:val="2E75B6" w:themeColor="accent5" w:themeShade="BF"/>
        </w:rPr>
      </w:pPr>
      <w:bookmarkStart w:id="72" w:name="_Toc134445742"/>
      <w:bookmarkEnd w:id="72"/>
      <w:bookmarkStart w:id="73" w:name="_Toc134445819"/>
      <w:bookmarkEnd w:id="73"/>
      <w:bookmarkStart w:id="74" w:name="_Toc113969318"/>
      <w:bookmarkStart w:id="75" w:name="_Toc11427"/>
      <w:bookmarkStart w:id="76" w:name="_Toc17079"/>
      <w:bookmarkStart w:id="77" w:name="_Toc2842"/>
      <w:bookmarkStart w:id="78" w:name="_Toc29372"/>
      <w:bookmarkStart w:id="79" w:name="_Toc32594"/>
      <w:bookmarkStart w:id="80" w:name="_Toc32068"/>
      <w:bookmarkStart w:id="81" w:name="_Toc28105"/>
      <w:r>
        <w:rPr>
          <w:rFonts w:hint="eastAsia" w:cstheme="minorBidi"/>
          <w:bCs w:val="0"/>
          <w:color w:val="2E75B6" w:themeColor="accent5" w:themeShade="BF"/>
        </w:rPr>
        <w:t>董事会以下</w:t>
      </w:r>
      <w:bookmarkEnd w:id="74"/>
      <w:r>
        <w:rPr>
          <w:rFonts w:hint="eastAsia" w:cstheme="minorBidi"/>
          <w:bCs w:val="0"/>
          <w:color w:val="2E75B6" w:themeColor="accent5" w:themeShade="BF"/>
        </w:rPr>
        <w:t>层面</w:t>
      </w:r>
      <w:bookmarkEnd w:id="75"/>
      <w:bookmarkEnd w:id="76"/>
      <w:bookmarkEnd w:id="77"/>
      <w:bookmarkEnd w:id="78"/>
      <w:bookmarkEnd w:id="79"/>
      <w:bookmarkEnd w:id="80"/>
      <w:bookmarkEnd w:id="81"/>
    </w:p>
    <w:p>
      <w:pPr>
        <w:spacing w:line="360" w:lineRule="auto"/>
        <w:ind w:firstLine="420"/>
        <w:rPr>
          <w:rFonts w:ascii="Times New Roman" w:hAnsi="Times New Roman" w:eastAsia="宋体" w:cs="宋体"/>
          <w:position w:val="-1"/>
          <w:sz w:val="24"/>
          <w:lang w:bidi="ar"/>
        </w:rPr>
      </w:pPr>
      <w:r>
        <w:rPr>
          <w:rFonts w:hint="eastAsia" w:ascii="Times New Roman" w:hAnsi="Times New Roman" w:eastAsia="宋体" w:cs="宋体"/>
          <w:position w:val="-1"/>
          <w:sz w:val="24"/>
          <w:lang w:bidi="ar"/>
        </w:rPr>
        <w:t>本行高管层负责根据董事会的决定，制定绿色信贷目标，建立机制和流程，明确职责和权限，开展内控检查和考核评价，每年度向董事会报告绿色信贷发展情况，并根据需要向监管机构报送相关情况。</w:t>
      </w:r>
    </w:p>
    <w:p>
      <w:pPr>
        <w:pStyle w:val="2"/>
        <w:spacing w:line="360" w:lineRule="auto"/>
        <w:ind w:firstLine="480"/>
        <w:rPr>
          <w:rFonts w:hint="default" w:ascii="Times New Roman" w:hAnsi="Times New Roman" w:eastAsia="宋体" w:cs="宋体"/>
          <w:position w:val="-1"/>
          <w:sz w:val="24"/>
          <w:lang w:bidi="ar"/>
        </w:rPr>
      </w:pPr>
    </w:p>
    <w:p>
      <w:pPr>
        <w:spacing w:line="360" w:lineRule="auto"/>
        <w:ind w:firstLine="420"/>
        <w:rPr>
          <w:rFonts w:ascii="Times New Roman" w:hAnsi="Times New Roman" w:eastAsia="宋体" w:cs="宋体"/>
          <w:position w:val="-1"/>
          <w:sz w:val="24"/>
          <w:lang w:eastAsia="zh-Hans" w:bidi="ar"/>
        </w:rPr>
      </w:pPr>
      <w:r>
        <w:rPr>
          <w:rFonts w:hint="eastAsia" w:ascii="Times New Roman" w:hAnsi="Times New Roman" w:eastAsia="宋体" w:cs="宋体"/>
          <w:position w:val="-1"/>
          <w:sz w:val="24"/>
          <w:lang w:bidi="ar"/>
        </w:rPr>
        <w:t>本行</w:t>
      </w:r>
      <w:r>
        <w:rPr>
          <w:rFonts w:hint="eastAsia" w:ascii="Times New Roman" w:hAnsi="Times New Roman" w:eastAsia="宋体" w:cs="宋体"/>
          <w:position w:val="-1"/>
          <w:sz w:val="24"/>
          <w:lang w:eastAsia="zh-Hans" w:bidi="ar"/>
        </w:rPr>
        <w:t>高管层下设</w:t>
      </w:r>
      <w:r>
        <w:rPr>
          <w:rFonts w:hint="eastAsia" w:ascii="Times New Roman" w:hAnsi="Times New Roman" w:eastAsia="宋体" w:cs="宋体"/>
          <w:b/>
          <w:bCs/>
          <w:position w:val="-1"/>
          <w:sz w:val="24"/>
          <w:lang w:eastAsia="zh-Hans" w:bidi="ar"/>
        </w:rPr>
        <w:t>绿色信贷管理工作小组</w:t>
      </w:r>
      <w:r>
        <w:rPr>
          <w:rFonts w:hint="eastAsia" w:ascii="Times New Roman" w:hAnsi="Times New Roman" w:eastAsia="宋体" w:cs="宋体"/>
          <w:position w:val="-1"/>
          <w:sz w:val="24"/>
          <w:lang w:eastAsia="zh-Hans" w:bidi="ar"/>
        </w:rPr>
        <w:t>和</w:t>
      </w:r>
      <w:r>
        <w:rPr>
          <w:rFonts w:hint="eastAsia" w:ascii="Times New Roman" w:hAnsi="Times New Roman" w:eastAsia="宋体" w:cs="宋体"/>
          <w:b/>
          <w:bCs/>
          <w:position w:val="-1"/>
          <w:sz w:val="24"/>
          <w:lang w:eastAsia="zh-Hans" w:bidi="ar"/>
        </w:rPr>
        <w:t>环境信息披露小组</w:t>
      </w:r>
      <w:r>
        <w:rPr>
          <w:rFonts w:ascii="Times New Roman" w:hAnsi="Times New Roman" w:eastAsia="宋体" w:cs="宋体"/>
          <w:position w:val="-1"/>
          <w:sz w:val="24"/>
          <w:lang w:eastAsia="zh-Hans" w:bidi="ar"/>
        </w:rPr>
        <w:t>。</w:t>
      </w:r>
    </w:p>
    <w:p>
      <w:pPr>
        <w:spacing w:line="360" w:lineRule="auto"/>
        <w:ind w:firstLine="420"/>
        <w:rPr>
          <w:rFonts w:ascii="Times New Roman" w:hAnsi="Times New Roman" w:eastAsia="宋体" w:cs="宋体"/>
          <w:position w:val="-1"/>
          <w:sz w:val="24"/>
          <w:lang w:eastAsia="zh-Hans" w:bidi="ar"/>
        </w:rPr>
      </w:pPr>
      <w:r>
        <w:rPr>
          <w:rFonts w:hint="eastAsia" w:ascii="Times New Roman" w:hAnsi="Times New Roman" w:eastAsia="宋体" w:cs="宋体"/>
          <w:position w:val="-1"/>
          <w:sz w:val="24"/>
          <w:lang w:eastAsia="zh-Hans" w:bidi="ar"/>
        </w:rPr>
        <w:t>（</w:t>
      </w:r>
      <w:r>
        <w:rPr>
          <w:rFonts w:ascii="Times New Roman" w:hAnsi="Times New Roman" w:eastAsia="宋体" w:cs="宋体"/>
          <w:position w:val="-1"/>
          <w:sz w:val="24"/>
          <w:lang w:bidi="ar"/>
        </w:rPr>
        <w:t>1</w:t>
      </w:r>
      <w:r>
        <w:rPr>
          <w:rFonts w:hint="eastAsia" w:ascii="Times New Roman" w:hAnsi="Times New Roman" w:eastAsia="宋体" w:cs="宋体"/>
          <w:position w:val="-1"/>
          <w:sz w:val="24"/>
          <w:lang w:eastAsia="zh-Hans" w:bidi="ar"/>
        </w:rPr>
        <w:t>）</w:t>
      </w:r>
      <w:r>
        <w:rPr>
          <w:rFonts w:ascii="Times New Roman" w:hAnsi="Times New Roman" w:eastAsia="宋体" w:cs="宋体"/>
          <w:position w:val="-1"/>
          <w:sz w:val="24"/>
          <w:lang w:eastAsia="zh-Hans" w:bidi="ar"/>
        </w:rPr>
        <w:t>绿色信贷管理工作小组由负责分管信贷工作的总行领导担任组长，成员包括信贷业务条线管理部门负责人或其授权人员。负责</w:t>
      </w:r>
      <w:r>
        <w:rPr>
          <w:rFonts w:hint="eastAsia" w:ascii="Times New Roman" w:hAnsi="Times New Roman" w:eastAsia="宋体" w:cs="宋体"/>
          <w:position w:val="-1"/>
          <w:sz w:val="24"/>
          <w:lang w:eastAsia="zh-Hans" w:bidi="ar"/>
        </w:rPr>
        <w:t>推动绿色信贷产品创新</w:t>
      </w:r>
      <w:r>
        <w:rPr>
          <w:rFonts w:ascii="Times New Roman" w:hAnsi="Times New Roman" w:eastAsia="宋体" w:cs="宋体"/>
          <w:position w:val="-1"/>
          <w:sz w:val="24"/>
          <w:lang w:eastAsia="zh-Hans" w:bidi="ar"/>
        </w:rPr>
        <w:t>、组织开展并归口管理绿色信贷各项工作，客户准入、审查、审批及贷后管理等相关政策的发布和监督落实，</w:t>
      </w:r>
      <w:r>
        <w:rPr>
          <w:rFonts w:hint="eastAsia" w:ascii="Times New Roman" w:hAnsi="Times New Roman" w:eastAsia="宋体" w:cs="宋体"/>
          <w:position w:val="-1"/>
          <w:sz w:val="24"/>
          <w:lang w:eastAsia="zh-Hans" w:bidi="ar"/>
        </w:rPr>
        <w:t>负责绿色信贷风险管理</w:t>
      </w:r>
      <w:r>
        <w:rPr>
          <w:rFonts w:ascii="Times New Roman" w:hAnsi="Times New Roman" w:eastAsia="宋体" w:cs="宋体"/>
          <w:position w:val="-1"/>
          <w:sz w:val="24"/>
          <w:lang w:eastAsia="zh-Hans" w:bidi="ar"/>
        </w:rPr>
        <w:t>。</w:t>
      </w:r>
    </w:p>
    <w:p>
      <w:pPr>
        <w:spacing w:line="360" w:lineRule="auto"/>
        <w:ind w:firstLine="420"/>
        <w:rPr>
          <w:rFonts w:hint="default" w:ascii="Times New Roman" w:hAnsi="Times New Roman" w:eastAsia="宋体" w:cs="宋体"/>
          <w:position w:val="-1"/>
          <w:sz w:val="24"/>
          <w:lang w:val="en-US" w:eastAsia="zh-CN" w:bidi="ar"/>
        </w:rPr>
      </w:pPr>
      <w:r>
        <w:rPr>
          <w:rFonts w:hint="eastAsia" w:ascii="Times New Roman" w:hAnsi="Times New Roman" w:eastAsia="宋体" w:cs="宋体"/>
          <w:position w:val="-1"/>
          <w:sz w:val="24"/>
          <w:lang w:eastAsia="zh-Hans" w:bidi="ar"/>
        </w:rPr>
        <w:t>（</w:t>
      </w:r>
      <w:r>
        <w:rPr>
          <w:rFonts w:ascii="Times New Roman" w:hAnsi="Times New Roman" w:eastAsia="宋体" w:cs="宋体"/>
          <w:position w:val="-1"/>
          <w:sz w:val="24"/>
          <w:lang w:bidi="ar"/>
        </w:rPr>
        <w:t>2</w:t>
      </w:r>
      <w:r>
        <w:rPr>
          <w:rFonts w:hint="eastAsia" w:ascii="Times New Roman" w:hAnsi="Times New Roman" w:eastAsia="宋体" w:cs="宋体"/>
          <w:position w:val="-1"/>
          <w:sz w:val="24"/>
          <w:lang w:eastAsia="zh-Hans" w:bidi="ar"/>
        </w:rPr>
        <w:t>）</w:t>
      </w:r>
      <w:r>
        <w:rPr>
          <w:rFonts w:ascii="Times New Roman" w:hAnsi="Times New Roman" w:eastAsia="宋体" w:cs="宋体"/>
          <w:position w:val="-1"/>
          <w:sz w:val="24"/>
          <w:lang w:eastAsia="zh-Hans" w:bidi="ar"/>
        </w:rPr>
        <w:t>环境信息披露工作小组由总行行长担任组长，成员包括相关业务条线部门负责人。负责</w:t>
      </w:r>
      <w:r>
        <w:rPr>
          <w:rFonts w:hint="eastAsia" w:ascii="Times New Roman" w:hAnsi="Times New Roman" w:eastAsia="宋体" w:cs="宋体"/>
          <w:position w:val="-1"/>
          <w:sz w:val="24"/>
          <w:lang w:eastAsia="zh-Hans" w:bidi="ar"/>
        </w:rPr>
        <w:t>环境风险管理</w:t>
      </w:r>
      <w:r>
        <w:rPr>
          <w:rFonts w:ascii="Times New Roman" w:hAnsi="Times New Roman" w:eastAsia="宋体" w:cs="宋体"/>
          <w:position w:val="-1"/>
          <w:sz w:val="24"/>
          <w:lang w:eastAsia="zh-Hans" w:bidi="ar"/>
        </w:rPr>
        <w:t>，制定绿色金融相关政策制度和业务流程，编制发布专门的环境信息报告。</w:t>
      </w:r>
    </w:p>
    <w:p>
      <w:pPr>
        <w:pStyle w:val="4"/>
        <w:spacing w:line="360" w:lineRule="auto"/>
        <w:rPr>
          <w:color w:val="2E75B6" w:themeColor="accent5" w:themeShade="BF"/>
        </w:rPr>
      </w:pPr>
      <w:bookmarkStart w:id="82" w:name="_Toc31176"/>
      <w:bookmarkStart w:id="83" w:name="_Toc280"/>
      <w:bookmarkStart w:id="84" w:name="_Toc16205"/>
      <w:bookmarkStart w:id="85" w:name="_Toc26722"/>
      <w:bookmarkStart w:id="86" w:name="_Toc113969322"/>
      <w:bookmarkStart w:id="87" w:name="_Toc21881"/>
      <w:bookmarkStart w:id="88" w:name="_Toc11480"/>
      <w:r>
        <w:rPr>
          <w:color w:val="2E75B6" w:themeColor="accent5" w:themeShade="BF"/>
        </w:rPr>
        <w:br w:type="page"/>
      </w:r>
    </w:p>
    <w:p>
      <w:pPr>
        <w:pStyle w:val="4"/>
        <w:spacing w:line="360" w:lineRule="auto"/>
        <w:rPr>
          <w:color w:val="2E75B6" w:themeColor="accent5" w:themeShade="BF"/>
        </w:rPr>
      </w:pPr>
      <w:bookmarkStart w:id="89" w:name="_Toc9597"/>
      <w:r>
        <w:rPr>
          <w:rFonts w:hint="eastAsia"/>
          <w:color w:val="2E75B6" w:themeColor="accent5" w:themeShade="BF"/>
        </w:rPr>
        <w:t>第三部分 环境相关政策制度</w:t>
      </w:r>
      <w:bookmarkEnd w:id="82"/>
      <w:bookmarkEnd w:id="83"/>
      <w:bookmarkEnd w:id="84"/>
      <w:bookmarkEnd w:id="85"/>
      <w:bookmarkEnd w:id="86"/>
      <w:bookmarkEnd w:id="87"/>
      <w:bookmarkEnd w:id="88"/>
      <w:bookmarkEnd w:id="89"/>
    </w:p>
    <w:p>
      <w:pPr>
        <w:spacing w:line="360" w:lineRule="auto"/>
        <w:rPr>
          <w:rFonts w:ascii="Times New Roman" w:hAnsi="Times New Roman" w:cs="黑体"/>
          <w:color w:val="2E75B6" w:themeColor="accent5" w:themeShade="BF"/>
        </w:rPr>
      </w:pPr>
    </w:p>
    <w:p>
      <w:pPr>
        <w:pStyle w:val="5"/>
        <w:keepNext w:val="0"/>
        <w:keepLines w:val="0"/>
        <w:numPr>
          <w:ilvl w:val="0"/>
          <w:numId w:val="4"/>
        </w:numPr>
        <w:spacing w:line="360" w:lineRule="auto"/>
        <w:jc w:val="both"/>
        <w:rPr>
          <w:rFonts w:cstheme="minorBidi"/>
          <w:bCs w:val="0"/>
          <w:color w:val="2E75B6" w:themeColor="accent5" w:themeShade="BF"/>
        </w:rPr>
      </w:pPr>
      <w:bookmarkStart w:id="90" w:name="_Toc134445745"/>
      <w:bookmarkEnd w:id="90"/>
      <w:bookmarkStart w:id="91" w:name="_Toc134445822"/>
      <w:bookmarkEnd w:id="91"/>
      <w:bookmarkStart w:id="92" w:name="_Toc134445746"/>
      <w:bookmarkEnd w:id="92"/>
      <w:bookmarkStart w:id="93" w:name="_Toc134445823"/>
      <w:bookmarkEnd w:id="93"/>
      <w:bookmarkStart w:id="94" w:name="_Toc134445747"/>
      <w:bookmarkEnd w:id="94"/>
      <w:bookmarkStart w:id="95" w:name="_Toc134445824"/>
      <w:bookmarkEnd w:id="95"/>
      <w:bookmarkStart w:id="96" w:name="_Toc134445748"/>
      <w:bookmarkEnd w:id="96"/>
      <w:bookmarkStart w:id="97" w:name="_Toc134445825"/>
      <w:bookmarkEnd w:id="97"/>
      <w:bookmarkStart w:id="98" w:name="_Toc5589"/>
      <w:bookmarkStart w:id="99" w:name="_Toc12618"/>
      <w:bookmarkStart w:id="100" w:name="_Toc7394"/>
      <w:bookmarkStart w:id="101" w:name="_Toc17616"/>
      <w:bookmarkStart w:id="102" w:name="_Toc9551"/>
      <w:bookmarkStart w:id="103" w:name="_Toc25039"/>
      <w:bookmarkStart w:id="104" w:name="_Toc20977"/>
      <w:r>
        <w:rPr>
          <w:rFonts w:hint="eastAsia" w:cstheme="minorBidi"/>
          <w:bCs w:val="0"/>
          <w:color w:val="2E75B6" w:themeColor="accent5" w:themeShade="BF"/>
        </w:rPr>
        <w:t>制定并完善内部环境相关管理制度</w:t>
      </w:r>
      <w:bookmarkEnd w:id="98"/>
      <w:bookmarkEnd w:id="99"/>
      <w:bookmarkEnd w:id="100"/>
      <w:bookmarkEnd w:id="101"/>
      <w:bookmarkEnd w:id="102"/>
      <w:bookmarkEnd w:id="103"/>
      <w:bookmarkEnd w:id="104"/>
    </w:p>
    <w:p>
      <w:pPr>
        <w:spacing w:line="360" w:lineRule="auto"/>
        <w:ind w:firstLine="480" w:firstLineChars="200"/>
        <w:rPr>
          <w:rFonts w:ascii="Times New Roman" w:hAnsi="Times New Roman"/>
        </w:rPr>
      </w:pPr>
      <w:r>
        <w:rPr>
          <w:rFonts w:hint="eastAsia" w:ascii="Times New Roman" w:hAnsi="Times New Roman" w:eastAsia="宋体" w:cs="宋体"/>
          <w:sz w:val="24"/>
          <w:szCs w:val="24"/>
          <w:lang w:eastAsia="zh-Hans"/>
        </w:rPr>
        <w:t>本行紧跟国家和地区政策导向，</w:t>
      </w:r>
      <w:r>
        <w:rPr>
          <w:rFonts w:hint="eastAsia" w:ascii="Times New Roman" w:hAnsi="Times New Roman" w:eastAsia="宋体" w:cs="宋体"/>
          <w:sz w:val="24"/>
          <w:szCs w:val="24"/>
        </w:rPr>
        <w:t>制定并逐步完善内部环境相关管理制度</w:t>
      </w:r>
      <w:r>
        <w:rPr>
          <w:rFonts w:ascii="Times New Roman" w:hAnsi="Times New Roman" w:eastAsia="宋体" w:cs="宋体"/>
          <w:sz w:val="24"/>
          <w:szCs w:val="24"/>
        </w:rPr>
        <w:t>，</w:t>
      </w:r>
      <w:r>
        <w:rPr>
          <w:rFonts w:hint="eastAsia" w:ascii="Times New Roman" w:hAnsi="Times New Roman" w:eastAsia="宋体" w:cs="宋体"/>
          <w:sz w:val="24"/>
          <w:szCs w:val="24"/>
        </w:rPr>
        <w:t>加强绿色金融政策体系建设。目前，本行已制定绿色信贷发展战略、绿色信贷管理办法和绿色信贷考核指标。</w:t>
      </w:r>
    </w:p>
    <w:tbl>
      <w:tblPr>
        <w:tblStyle w:val="23"/>
        <w:tblW w:w="0" w:type="auto"/>
        <w:tblInd w:w="0" w:type="dxa"/>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Layout w:type="autofit"/>
        <w:tblCellMar>
          <w:top w:w="0" w:type="dxa"/>
          <w:left w:w="108" w:type="dxa"/>
          <w:bottom w:w="0" w:type="dxa"/>
          <w:right w:w="108" w:type="dxa"/>
        </w:tblCellMar>
      </w:tblPr>
      <w:tblGrid>
        <w:gridCol w:w="8296"/>
      </w:tblGrid>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c>
          <w:tcPr>
            <w:tcW w:w="8296" w:type="dxa"/>
            <w:tcBorders>
              <w:tl2br w:val="nil"/>
              <w:tr2bl w:val="nil"/>
            </w:tcBorders>
          </w:tcPr>
          <w:p>
            <w:pPr>
              <w:numPr>
                <w:ilvl w:val="255"/>
                <w:numId w:val="0"/>
              </w:numPr>
              <w:tabs>
                <w:tab w:val="left" w:pos="360"/>
              </w:tabs>
              <w:spacing w:line="360" w:lineRule="auto"/>
              <w:rPr>
                <w:rFonts w:ascii="Times New Roman" w:hAnsi="Times New Roman" w:eastAsia="宋体" w:cs="宋体"/>
                <w:b/>
                <w:bCs/>
                <w:sz w:val="24"/>
                <w:szCs w:val="24"/>
              </w:rPr>
            </w:pPr>
            <w:bookmarkStart w:id="105" w:name="_Toc27197"/>
            <w:bookmarkStart w:id="106" w:name="_Toc16753"/>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Hans"/>
              </w:rPr>
              <w:t>一</w:t>
            </w:r>
            <w:r>
              <w:rPr>
                <w:rFonts w:hint="eastAsia" w:ascii="Times New Roman" w:hAnsi="Times New Roman" w:eastAsia="宋体" w:cs="宋体"/>
                <w:b/>
                <w:bCs/>
                <w:sz w:val="24"/>
                <w:szCs w:val="24"/>
              </w:rPr>
              <w:t>）制度</w:t>
            </w:r>
            <w:bookmarkEnd w:id="105"/>
            <w:bookmarkEnd w:id="106"/>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Hans"/>
              </w:rPr>
              <w:t>江门农村商业银行股份有限公司绿色信贷发展战略（</w:t>
            </w:r>
            <w:r>
              <w:rPr>
                <w:rFonts w:ascii="Times New Roman" w:hAnsi="Times New Roman" w:eastAsia="宋体" w:cs="宋体"/>
                <w:b/>
                <w:bCs/>
                <w:sz w:val="24"/>
                <w:szCs w:val="24"/>
                <w:lang w:eastAsia="zh-Hans"/>
              </w:rPr>
              <w:t>2020-2023</w:t>
            </w:r>
            <w:r>
              <w:rPr>
                <w:rFonts w:hint="eastAsia" w:ascii="Times New Roman" w:hAnsi="Times New Roman" w:eastAsia="宋体" w:cs="宋体"/>
                <w:b/>
                <w:bCs/>
                <w:sz w:val="24"/>
                <w:szCs w:val="24"/>
                <w:lang w:eastAsia="zh-Hans"/>
              </w:rPr>
              <w:t>年）</w:t>
            </w:r>
            <w:r>
              <w:rPr>
                <w:rFonts w:hint="eastAsia" w:ascii="Times New Roman" w:hAnsi="Times New Roman" w:eastAsia="宋体" w:cs="宋体"/>
                <w:b/>
                <w:bCs/>
                <w:sz w:val="24"/>
                <w:szCs w:val="24"/>
              </w:rPr>
              <w:t>》</w:t>
            </w:r>
          </w:p>
          <w:p>
            <w:pPr>
              <w:spacing w:line="360" w:lineRule="auto"/>
              <w:ind w:firstLine="480" w:firstLineChars="200"/>
              <w:rPr>
                <w:rFonts w:ascii="Times New Roman" w:hAnsi="Times New Roman" w:eastAsia="宋体" w:cs="宋体"/>
                <w:sz w:val="24"/>
                <w:szCs w:val="24"/>
                <w:lang w:eastAsia="zh-Hans"/>
              </w:rPr>
            </w:pPr>
            <w:r>
              <w:rPr>
                <w:rFonts w:hint="eastAsia" w:ascii="Times New Roman" w:hAnsi="Times New Roman" w:eastAsia="宋体" w:cs="宋体"/>
                <w:sz w:val="24"/>
                <w:szCs w:val="24"/>
              </w:rPr>
              <w:t>该《战略》切实将绿色信贷理念融入银行经营活动，明确要求</w:t>
            </w:r>
            <w:r>
              <w:rPr>
                <w:rFonts w:hint="eastAsia" w:ascii="Times New Roman" w:hAnsi="Times New Roman" w:eastAsia="宋体" w:cs="宋体"/>
                <w:sz w:val="24"/>
                <w:szCs w:val="24"/>
                <w:lang w:eastAsia="zh-Hans"/>
              </w:rPr>
              <w:t>加大绿色信贷投放规模，重点支持清洁能源等绿色产业领域；激励丰富绿色金融产品体系，提高绿色金融创新能力；防范环境和社会风险。</w:t>
            </w:r>
          </w:p>
          <w:p>
            <w:pPr>
              <w:pStyle w:val="2"/>
              <w:spacing w:line="360" w:lineRule="auto"/>
              <w:ind w:left="0" w:leftChars="0" w:firstLine="0" w:firstLineChars="0"/>
              <w:rPr>
                <w:rFonts w:hint="default" w:ascii="Times New Roman" w:hAnsi="Times New Roman" w:eastAsia="宋体" w:cs="宋体"/>
                <w:b/>
                <w:bCs/>
                <w:sz w:val="24"/>
                <w:szCs w:val="24"/>
                <w:lang w:eastAsia="zh-Hans"/>
              </w:rPr>
            </w:pPr>
            <w:r>
              <w:rPr>
                <w:rFonts w:hint="default" w:ascii="Times New Roman" w:hAnsi="Times New Roman" w:eastAsia="宋体" w:cs="宋体"/>
                <w:b/>
                <w:bCs/>
                <w:sz w:val="24"/>
                <w:szCs w:val="24"/>
              </w:rPr>
              <w:t>（二）制度二：</w:t>
            </w:r>
            <w:r>
              <w:rPr>
                <w:rFonts w:hint="default" w:ascii="Times New Roman" w:hAnsi="Times New Roman" w:eastAsia="宋体" w:cs="宋体"/>
                <w:b/>
                <w:bCs/>
                <w:sz w:val="24"/>
                <w:szCs w:val="24"/>
                <w:lang w:eastAsia="zh-Hans"/>
              </w:rPr>
              <w:t>《2022年信贷管理工作意见》</w:t>
            </w:r>
          </w:p>
          <w:p>
            <w:pPr>
              <w:numPr>
                <w:ilvl w:val="255"/>
                <w:numId w:val="0"/>
              </w:numPr>
              <w:tabs>
                <w:tab w:val="left" w:pos="360"/>
              </w:tabs>
              <w:spacing w:line="360" w:lineRule="auto"/>
              <w:ind w:firstLine="480" w:firstLineChars="200"/>
              <w:rPr>
                <w:rFonts w:ascii="Times New Roman" w:hAnsi="Times New Roman" w:eastAsia="宋体" w:cs="宋体"/>
                <w:b/>
                <w:bCs/>
                <w:sz w:val="24"/>
                <w:szCs w:val="24"/>
              </w:rPr>
            </w:pPr>
            <w:r>
              <w:rPr>
                <w:rFonts w:hint="eastAsia" w:ascii="Times New Roman" w:hAnsi="Times New Roman" w:eastAsia="宋体" w:cs="宋体"/>
                <w:sz w:val="24"/>
                <w:szCs w:val="24"/>
                <w:lang w:eastAsia="zh-Hans"/>
              </w:rPr>
              <w:t>该《意见》将绿色信贷“一增三控”目标列入总行年度目标，明确要求各经营单位应大力发展绿色信贷业务、严格限制两高一剩、环境破坏、资源浪费业务的准入，促进本行转型升级发展。</w:t>
            </w:r>
          </w:p>
          <w:p>
            <w:pPr>
              <w:numPr>
                <w:ilvl w:val="255"/>
                <w:numId w:val="0"/>
              </w:numPr>
              <w:tabs>
                <w:tab w:val="left" w:pos="360"/>
              </w:tabs>
              <w:spacing w:line="360" w:lineRule="auto"/>
              <w:rPr>
                <w:rFonts w:ascii="Times New Roman" w:hAnsi="Times New Roman" w:eastAsia="宋体" w:cs="宋体"/>
                <w:sz w:val="24"/>
                <w:szCs w:val="24"/>
              </w:rPr>
            </w:pP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Hans"/>
              </w:rPr>
              <w:t>三</w:t>
            </w:r>
            <w:r>
              <w:rPr>
                <w:rFonts w:hint="eastAsia" w:ascii="Times New Roman" w:hAnsi="Times New Roman" w:eastAsia="宋体" w:cs="宋体"/>
                <w:b/>
                <w:bCs/>
                <w:sz w:val="24"/>
                <w:szCs w:val="24"/>
              </w:rPr>
              <w:t>）制度三：《</w:t>
            </w:r>
            <w:r>
              <w:rPr>
                <w:rFonts w:hint="eastAsia" w:ascii="Times New Roman" w:hAnsi="Times New Roman" w:eastAsia="宋体" w:cs="宋体"/>
                <w:b/>
                <w:bCs/>
                <w:sz w:val="24"/>
                <w:szCs w:val="24"/>
                <w:lang w:eastAsia="zh-Hans"/>
              </w:rPr>
              <w:t>绿色信贷管理办法</w:t>
            </w:r>
            <w:r>
              <w:rPr>
                <w:rFonts w:hint="eastAsia" w:ascii="Times New Roman" w:hAnsi="Times New Roman" w:eastAsia="宋体" w:cs="宋体"/>
                <w:b/>
                <w:bCs/>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该《办法》规范了绿色信贷的组织结构</w:t>
            </w:r>
            <w:r>
              <w:rPr>
                <w:rFonts w:ascii="Times New Roman" w:hAnsi="Times New Roman" w:eastAsia="宋体" w:cs="宋体"/>
                <w:sz w:val="24"/>
                <w:szCs w:val="24"/>
              </w:rPr>
              <w:t>、</w:t>
            </w:r>
            <w:r>
              <w:rPr>
                <w:rFonts w:hint="eastAsia" w:ascii="Times New Roman" w:hAnsi="Times New Roman" w:eastAsia="宋体" w:cs="宋体"/>
                <w:sz w:val="24"/>
                <w:szCs w:val="24"/>
              </w:rPr>
              <w:t>操作流程</w:t>
            </w:r>
            <w:r>
              <w:rPr>
                <w:rFonts w:ascii="Times New Roman" w:hAnsi="Times New Roman" w:eastAsia="宋体" w:cs="宋体"/>
                <w:sz w:val="24"/>
                <w:szCs w:val="24"/>
              </w:rPr>
              <w:t>、</w:t>
            </w:r>
            <w:r>
              <w:rPr>
                <w:rFonts w:hint="eastAsia" w:ascii="Times New Roman" w:hAnsi="Times New Roman" w:eastAsia="宋体" w:cs="宋体"/>
                <w:sz w:val="24"/>
                <w:szCs w:val="24"/>
              </w:rPr>
              <w:t>内控合规检查等方面的要求，提升业务人员对客户（项目）的环境和社会风险的认识。在信贷审批方面实施差别化的审批权限和审批制度，严格执行“环保一票否决”，坚决压缩退出高污染、高排放等环保不达标或整改不力的项目；在贷款利率定价方面给予绿色信贷</w:t>
            </w:r>
            <w:r>
              <w:rPr>
                <w:rFonts w:ascii="Times New Roman" w:hAnsi="Times New Roman" w:eastAsia="宋体" w:cs="宋体"/>
                <w:sz w:val="24"/>
                <w:szCs w:val="24"/>
              </w:rPr>
              <w:t>15-20BP</w:t>
            </w:r>
            <w:r>
              <w:rPr>
                <w:rFonts w:hint="eastAsia" w:ascii="Times New Roman" w:hAnsi="Times New Roman" w:eastAsia="宋体" w:cs="宋体"/>
                <w:sz w:val="24"/>
                <w:szCs w:val="24"/>
              </w:rPr>
              <w:t>的利率优惠。</w:t>
            </w:r>
          </w:p>
          <w:p>
            <w:pPr>
              <w:numPr>
                <w:ilvl w:val="255"/>
                <w:numId w:val="0"/>
              </w:numPr>
              <w:spacing w:line="360" w:lineRule="auto"/>
              <w:rPr>
                <w:rFonts w:ascii="Times New Roman" w:hAnsi="Times New Roman" w:eastAsia="宋体" w:cs="宋体"/>
                <w:b/>
                <w:bCs/>
                <w:sz w:val="24"/>
                <w:szCs w:val="24"/>
              </w:rPr>
            </w:pPr>
            <w:r>
              <w:rPr>
                <w:rFonts w:hint="eastAsia" w:ascii="Times New Roman" w:hAnsi="Times New Roman" w:eastAsia="宋体" w:cs="宋体"/>
                <w:b/>
                <w:bCs/>
                <w:sz w:val="24"/>
                <w:szCs w:val="24"/>
                <w:highlight w:val="none"/>
              </w:rPr>
              <w:t>（</w:t>
            </w:r>
            <w:r>
              <w:rPr>
                <w:rFonts w:hint="eastAsia" w:ascii="Times New Roman" w:hAnsi="Times New Roman" w:eastAsia="宋体" w:cs="宋体"/>
                <w:b/>
                <w:bCs/>
                <w:sz w:val="24"/>
                <w:szCs w:val="24"/>
                <w:highlight w:val="none"/>
                <w:lang w:val="en-US" w:eastAsia="zh-CN"/>
              </w:rPr>
              <w:t>四</w:t>
            </w:r>
            <w:r>
              <w:rPr>
                <w:rFonts w:hint="eastAsia" w:ascii="Times New Roman" w:hAnsi="Times New Roman" w:eastAsia="宋体" w:cs="宋体"/>
                <w:b/>
                <w:bCs/>
                <w:sz w:val="24"/>
                <w:szCs w:val="24"/>
                <w:highlight w:val="none"/>
              </w:rPr>
              <w:t>）制</w:t>
            </w:r>
            <w:r>
              <w:rPr>
                <w:rFonts w:hint="eastAsia" w:ascii="Times New Roman" w:hAnsi="Times New Roman" w:eastAsia="宋体" w:cs="宋体"/>
                <w:b/>
                <w:bCs/>
                <w:sz w:val="24"/>
                <w:szCs w:val="24"/>
              </w:rPr>
              <w:t>度四：《江门农村商业银行股份有限公司</w:t>
            </w:r>
            <w:r>
              <w:rPr>
                <w:rFonts w:ascii="Times New Roman" w:hAnsi="Times New Roman" w:eastAsia="宋体" w:cs="宋体"/>
                <w:b/>
                <w:bCs/>
                <w:sz w:val="24"/>
                <w:szCs w:val="24"/>
              </w:rPr>
              <w:t>2022</w:t>
            </w:r>
            <w:r>
              <w:rPr>
                <w:rFonts w:hint="eastAsia" w:ascii="Times New Roman" w:hAnsi="Times New Roman" w:eastAsia="宋体" w:cs="宋体"/>
                <w:b/>
                <w:bCs/>
                <w:sz w:val="24"/>
                <w:szCs w:val="24"/>
              </w:rPr>
              <w:t>年经营管理考核方案》</w:t>
            </w:r>
          </w:p>
          <w:p>
            <w:pPr>
              <w:spacing w:line="360" w:lineRule="auto"/>
              <w:rPr>
                <w:rFonts w:ascii="Times New Roman" w:hAnsi="Times New Roman"/>
              </w:rPr>
            </w:pPr>
            <w:r>
              <w:rPr>
                <w:rFonts w:ascii="Times New Roman" w:hAnsi="Times New Roman" w:eastAsia="宋体" w:cs="宋体"/>
                <w:sz w:val="24"/>
                <w:szCs w:val="24"/>
              </w:rPr>
              <w:t xml:space="preserve">   </w:t>
            </w:r>
            <w:r>
              <w:rPr>
                <w:rFonts w:hint="eastAsia" w:ascii="Times New Roman" w:hAnsi="Times New Roman" w:eastAsia="宋体" w:cs="宋体"/>
                <w:sz w:val="24"/>
                <w:szCs w:val="24"/>
              </w:rPr>
              <w:t>该《方案》将绿色金融业务营销情况与绩效考核相挂钩，增设绿色信贷余额等考核指标，绿色信贷余额同比增长可获得绩效加分。</w:t>
            </w:r>
          </w:p>
        </w:tc>
      </w:tr>
    </w:tbl>
    <w:p>
      <w:pPr>
        <w:spacing w:line="360" w:lineRule="auto"/>
        <w:rPr>
          <w:rFonts w:ascii="Times New Roman" w:hAnsi="Times New Roman"/>
        </w:rPr>
      </w:pPr>
      <w:r>
        <w:rPr>
          <w:rFonts w:ascii="Times New Roman" w:hAnsi="Times New Roman"/>
        </w:rPr>
        <w:br w:type="page"/>
      </w:r>
    </w:p>
    <w:p>
      <w:pPr>
        <w:pStyle w:val="5"/>
        <w:keepNext w:val="0"/>
        <w:keepLines w:val="0"/>
        <w:numPr>
          <w:ilvl w:val="0"/>
          <w:numId w:val="4"/>
        </w:numPr>
        <w:spacing w:line="360" w:lineRule="auto"/>
        <w:jc w:val="both"/>
        <w:rPr>
          <w:rFonts w:cstheme="minorBidi"/>
          <w:bCs w:val="0"/>
          <w:color w:val="2E75B6" w:themeColor="accent5" w:themeShade="BF"/>
        </w:rPr>
      </w:pPr>
      <w:bookmarkStart w:id="107" w:name="_Toc23150"/>
      <w:r>
        <w:rPr>
          <w:rFonts w:hint="eastAsia" w:cstheme="minorBidi"/>
          <w:bCs w:val="0"/>
          <w:color w:val="2E75B6" w:themeColor="accent5" w:themeShade="BF"/>
        </w:rPr>
        <w:t>贯彻落实国家及地区环境政策、法规及标准</w:t>
      </w:r>
      <w:bookmarkEnd w:id="107"/>
    </w:p>
    <w:p>
      <w:pPr>
        <w:spacing w:line="360" w:lineRule="auto"/>
        <w:ind w:firstLine="480" w:firstLineChars="200"/>
        <w:rPr>
          <w:rFonts w:ascii="Times New Roman" w:hAnsi="Times New Roman" w:eastAsia="宋体" w:cs="宋体"/>
          <w:bCs/>
          <w:color w:val="2E75B6" w:themeColor="accent5" w:themeShade="BF"/>
          <w:sz w:val="24"/>
          <w:szCs w:val="24"/>
          <w:lang w:eastAsia="zh-Hans"/>
        </w:rPr>
      </w:pPr>
      <w:r>
        <w:rPr>
          <w:rFonts w:hint="eastAsia" w:ascii="Times New Roman" w:hAnsi="Times New Roman" w:eastAsia="宋体" w:cs="宋体"/>
          <w:sz w:val="24"/>
          <w:szCs w:val="24"/>
          <w:lang w:eastAsia="zh-Hans"/>
        </w:rPr>
        <w:t>本行严格遵守国家和广东地区的环境政策制度，落实文件精神，规划战略部署，推动绿色金融提质增量，助力双碳目标实现。</w:t>
      </w:r>
    </w:p>
    <w:tbl>
      <w:tblPr>
        <w:tblStyle w:val="65"/>
        <w:tblW w:w="0" w:type="auto"/>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Layout w:type="autofit"/>
        <w:tblCellMar>
          <w:top w:w="0" w:type="dxa"/>
          <w:left w:w="108" w:type="dxa"/>
          <w:bottom w:w="0" w:type="dxa"/>
          <w:right w:w="108" w:type="dxa"/>
        </w:tblCellMar>
      </w:tblPr>
      <w:tblGrid>
        <w:gridCol w:w="3794"/>
        <w:gridCol w:w="283"/>
        <w:gridCol w:w="4253"/>
      </w:tblGrid>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bottom w:val="nil"/>
              <w:right w:val="nil"/>
            </w:tcBorders>
            <w:shd w:val="clear" w:color="auto" w:fill="5B9BD5" w:themeFill="accent5"/>
            <w:vAlign w:val="center"/>
          </w:tcPr>
          <w:p>
            <w:pPr>
              <w:pStyle w:val="2"/>
              <w:spacing w:line="360" w:lineRule="auto"/>
              <w:ind w:left="0" w:leftChars="0" w:firstLine="0" w:firstLineChars="0"/>
              <w:jc w:val="center"/>
              <w:rPr>
                <w:rFonts w:hint="default" w:ascii="Times New Roman" w:hAnsi="Times New Roman" w:eastAsia="宋体"/>
                <w:b w:val="0"/>
                <w:bCs w:val="0"/>
                <w:color w:val="FFFFFF" w:themeColor="background1"/>
                <w:szCs w:val="21"/>
                <w14:textFill>
                  <w14:solidFill>
                    <w14:schemeClr w14:val="bg1"/>
                  </w14:solidFill>
                </w14:textFill>
              </w:rPr>
            </w:pPr>
            <w:r>
              <w:rPr>
                <w:rFonts w:ascii="Times New Roman" w:hAnsi="Times New Roman" w:eastAsia="宋体"/>
                <w:b/>
                <w:bCs/>
                <w:color w:val="FFFFFF" w:themeColor="background1"/>
                <w:szCs w:val="21"/>
                <w14:textFill>
                  <w14:solidFill>
                    <w14:schemeClr w14:val="bg1"/>
                  </w14:solidFill>
                </w14:textFill>
              </w:rPr>
              <w:t>国家及地区环境部分政策</w:t>
            </w:r>
          </w:p>
        </w:tc>
        <w:tc>
          <w:tcPr>
            <w:tcW w:w="283" w:type="dxa"/>
            <w:vMerge w:val="restart"/>
            <w:shd w:val="clear" w:color="auto" w:fill="5B9BD5" w:themeFill="accent5"/>
            <w:vAlign w:val="center"/>
          </w:tcPr>
          <w:p>
            <w:pPr>
              <w:pStyle w:val="2"/>
              <w:spacing w:line="360" w:lineRule="auto"/>
              <w:ind w:left="0" w:leftChars="0" w:firstLine="0" w:firstLineChars="0"/>
              <w:jc w:val="center"/>
              <w:rPr>
                <w:rFonts w:hint="default" w:ascii="Times New Roman" w:hAnsi="Times New Roman" w:eastAsia="宋体"/>
                <w:b w:val="0"/>
                <w:bCs w:val="0"/>
                <w:color w:val="FFFFFF" w:themeColor="background1"/>
                <w:szCs w:val="21"/>
                <w14:textFill>
                  <w14:solidFill>
                    <w14:schemeClr w14:val="bg1"/>
                  </w14:solidFill>
                </w14:textFill>
              </w:rPr>
            </w:pPr>
          </w:p>
        </w:tc>
        <w:tc>
          <w:tcPr>
            <w:tcW w:w="4253" w:type="dxa"/>
            <w:shd w:val="clear" w:color="auto" w:fill="5B9BD5" w:themeFill="accent5"/>
            <w:vAlign w:val="center"/>
          </w:tcPr>
          <w:p>
            <w:pPr>
              <w:pStyle w:val="2"/>
              <w:spacing w:line="360" w:lineRule="auto"/>
              <w:ind w:left="0" w:leftChars="0" w:firstLine="0" w:firstLineChars="0"/>
              <w:jc w:val="center"/>
              <w:rPr>
                <w:rFonts w:hint="default" w:ascii="Times New Roman" w:hAnsi="Times New Roman" w:eastAsia="宋体"/>
                <w:b w:val="0"/>
                <w:bCs w:val="0"/>
                <w:color w:val="FFFFFF" w:themeColor="background1"/>
                <w:szCs w:val="21"/>
                <w14:textFill>
                  <w14:solidFill>
                    <w14:schemeClr w14:val="bg1"/>
                  </w14:solidFill>
                </w14:textFill>
              </w:rPr>
            </w:pPr>
            <w:r>
              <w:rPr>
                <w:rFonts w:ascii="Times New Roman" w:hAnsi="Times New Roman" w:eastAsia="宋体"/>
                <w:b/>
                <w:bCs/>
                <w:color w:val="FFFFFF" w:themeColor="background1"/>
                <w:szCs w:val="21"/>
                <w14:textFill>
                  <w14:solidFill>
                    <w14:schemeClr w14:val="bg1"/>
                  </w14:solidFill>
                </w14:textFill>
              </w:rPr>
              <w:t>本行政策响应</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rPr>
          <w:trHeight w:val="4810" w:hRule="atLeast"/>
        </w:trPr>
        <w:tc>
          <w:tcPr>
            <w:tcW w:w="3794" w:type="dxa"/>
            <w:tcBorders>
              <w:top w:val="single" w:color="5B9BD5" w:themeColor="accent5" w:sz="4" w:space="0"/>
              <w:bottom w:val="single" w:color="5B9BD5" w:themeColor="accent5" w:sz="4" w:space="0"/>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cs="Times New Roman Regular"/>
                <w:b/>
                <w:bCs/>
                <w:kern w:val="24"/>
                <w:szCs w:val="21"/>
              </w:rPr>
            </w:pPr>
            <w:r>
              <w:rPr>
                <w:rFonts w:hint="default" w:ascii="Times New Roman" w:hAnsi="Times New Roman" w:eastAsia="宋体" w:cs="Times New Roman Regular"/>
                <w:b/>
                <w:bCs/>
                <w:kern w:val="24"/>
                <w:szCs w:val="21"/>
              </w:rPr>
              <w:t>2021.09</w:t>
            </w:r>
            <w:r>
              <w:rPr>
                <w:rFonts w:ascii="Times New Roman" w:hAnsi="Times New Roman" w:eastAsia="宋体" w:cs="Times New Roman Regular"/>
                <w:b/>
                <w:bCs/>
                <w:kern w:val="24"/>
                <w:szCs w:val="21"/>
              </w:rPr>
              <w:t>国务院《中共中央</w:t>
            </w:r>
            <w:r>
              <w:rPr>
                <w:rFonts w:hint="default" w:ascii="Times New Roman" w:hAnsi="Times New Roman" w:eastAsia="宋体" w:cs="Times New Roman Regular"/>
                <w:b/>
                <w:bCs/>
                <w:kern w:val="24"/>
                <w:szCs w:val="21"/>
              </w:rPr>
              <w:t xml:space="preserve"> </w:t>
            </w:r>
            <w:r>
              <w:rPr>
                <w:rFonts w:ascii="Times New Roman" w:hAnsi="Times New Roman" w:eastAsia="宋体" w:cs="Times New Roman Regular"/>
                <w:b/>
                <w:bCs/>
                <w:kern w:val="24"/>
                <w:szCs w:val="21"/>
              </w:rPr>
              <w:t>国务院关于完整准确全面贯彻新发展理念做好碳达峰碳中和工作的意见》</w:t>
            </w:r>
          </w:p>
        </w:tc>
        <w:tc>
          <w:tcPr>
            <w:tcW w:w="28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restart"/>
            <w:tcBorders>
              <w:top w:val="single" w:color="5B9BD5" w:themeColor="accent5" w:sz="4" w:space="0"/>
              <w:bottom w:val="single" w:color="5B9BD5" w:themeColor="accent5" w:sz="4" w:space="0"/>
            </w:tcBorders>
            <w:vAlign w:val="center"/>
          </w:tcPr>
          <w:p>
            <w:pPr>
              <w:pStyle w:val="2"/>
              <w:numPr>
                <w:ilvl w:val="0"/>
                <w:numId w:val="5"/>
              </w:numPr>
              <w:spacing w:line="360" w:lineRule="auto"/>
              <w:ind w:leftChars="0" w:firstLineChars="0"/>
              <w:rPr>
                <w:rFonts w:hint="default" w:ascii="Times New Roman" w:hAnsi="Times New Roman" w:eastAsia="宋体"/>
                <w:szCs w:val="21"/>
              </w:rPr>
            </w:pPr>
            <w:r>
              <w:rPr>
                <w:rFonts w:ascii="Times New Roman" w:hAnsi="Times New Roman" w:eastAsia="宋体"/>
                <w:szCs w:val="21"/>
              </w:rPr>
              <w:t>优化绿色金融融资结构，支持低碳高效产业发展</w:t>
            </w:r>
          </w:p>
          <w:p>
            <w:pPr>
              <w:pStyle w:val="2"/>
              <w:numPr>
                <w:ilvl w:val="0"/>
                <w:numId w:val="5"/>
              </w:numPr>
              <w:spacing w:line="360" w:lineRule="auto"/>
              <w:ind w:leftChars="0" w:firstLineChars="0"/>
              <w:rPr>
                <w:rFonts w:hint="default" w:ascii="Times New Roman" w:hAnsi="Times New Roman" w:eastAsia="宋体"/>
                <w:szCs w:val="21"/>
              </w:rPr>
            </w:pPr>
            <w:r>
              <w:rPr>
                <w:rFonts w:ascii="Times New Roman" w:hAnsi="Times New Roman" w:eastAsia="宋体"/>
                <w:szCs w:val="21"/>
              </w:rPr>
              <w:t>确立绿色信贷增长目标和考核要求，扩大绿色信贷规模，逐年提高绿色信贷占比</w:t>
            </w:r>
          </w:p>
          <w:p>
            <w:pPr>
              <w:pStyle w:val="2"/>
              <w:numPr>
                <w:ilvl w:val="0"/>
                <w:numId w:val="5"/>
              </w:numPr>
              <w:spacing w:line="360" w:lineRule="auto"/>
              <w:ind w:leftChars="0" w:firstLineChars="0"/>
              <w:rPr>
                <w:rFonts w:hint="default" w:ascii="Times New Roman" w:hAnsi="Times New Roman" w:eastAsia="宋体"/>
                <w:szCs w:val="21"/>
              </w:rPr>
            </w:pPr>
            <w:r>
              <w:rPr>
                <w:rFonts w:ascii="Times New Roman" w:hAnsi="Times New Roman" w:eastAsia="宋体"/>
                <w:szCs w:val="21"/>
              </w:rPr>
              <w:t>对外投资绿色债券，探索发行绿色金融债券</w:t>
            </w:r>
          </w:p>
          <w:p>
            <w:pPr>
              <w:pStyle w:val="2"/>
              <w:numPr>
                <w:ilvl w:val="0"/>
                <w:numId w:val="5"/>
              </w:numPr>
              <w:spacing w:line="360" w:lineRule="auto"/>
              <w:ind w:leftChars="0" w:firstLineChars="0"/>
              <w:rPr>
                <w:rFonts w:hint="default" w:ascii="Times New Roman" w:hAnsi="Times New Roman" w:eastAsia="宋体"/>
                <w:szCs w:val="21"/>
              </w:rPr>
            </w:pPr>
            <w:r>
              <w:rPr>
                <w:rFonts w:ascii="Times New Roman" w:hAnsi="Times New Roman" w:eastAsia="宋体"/>
                <w:szCs w:val="21"/>
              </w:rPr>
              <w:t>创新绿色产品与服务，积极探索发展碳排放权、排污权等绿色权益抵质押融资业务</w:t>
            </w:r>
          </w:p>
          <w:p>
            <w:pPr>
              <w:pStyle w:val="2"/>
              <w:numPr>
                <w:ilvl w:val="0"/>
                <w:numId w:val="5"/>
              </w:numPr>
              <w:spacing w:line="360" w:lineRule="auto"/>
              <w:ind w:leftChars="0" w:firstLineChars="0"/>
              <w:rPr>
                <w:rFonts w:hint="default" w:ascii="Times New Roman" w:hAnsi="Times New Roman" w:eastAsia="宋体"/>
                <w:szCs w:val="21"/>
              </w:rPr>
            </w:pPr>
            <w:r>
              <w:rPr>
                <w:rFonts w:ascii="Times New Roman" w:hAnsi="Times New Roman" w:eastAsia="宋体"/>
                <w:szCs w:val="21"/>
              </w:rPr>
              <w:t>完善环境信息披露工作要求，建立环境信息披露工作小组</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val="0"/>
                <w:bCs w:val="0"/>
                <w:szCs w:val="21"/>
              </w:rPr>
            </w:pPr>
            <w:r>
              <w:rPr>
                <w:rFonts w:hint="default" w:ascii="Times New Roman" w:hAnsi="Times New Roman" w:eastAsia="宋体" w:cs="Times New Roman Regular"/>
                <w:b/>
                <w:bCs/>
                <w:kern w:val="24"/>
                <w:szCs w:val="21"/>
              </w:rPr>
              <w:t xml:space="preserve">2016.08 </w:t>
            </w:r>
            <w:r>
              <w:rPr>
                <w:rFonts w:ascii="Times New Roman" w:hAnsi="Times New Roman" w:eastAsia="宋体" w:cs="Times New Roman Regular"/>
                <w:b/>
                <w:bCs/>
                <w:kern w:val="24"/>
                <w:szCs w:val="21"/>
              </w:rPr>
              <w:t>中国人民银行等七部委《关于构建绿色金融体系的指导意见》（银发</w:t>
            </w:r>
            <w:r>
              <w:rPr>
                <w:rFonts w:hint="default" w:ascii="Times New Roman" w:hAnsi="Times New Roman" w:eastAsia="宋体" w:cs="Times New Roman Regular"/>
                <w:b/>
                <w:bCs/>
                <w:kern w:val="24"/>
                <w:szCs w:val="21"/>
              </w:rPr>
              <w:t>[2016]228号）</w:t>
            </w:r>
          </w:p>
        </w:tc>
        <w:tc>
          <w:tcPr>
            <w:tcW w:w="28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top w:val="single" w:color="5B9BD5" w:themeColor="accent5" w:sz="4" w:space="0"/>
              <w:bottom w:val="single" w:color="5B9BD5" w:themeColor="accent5" w:sz="4" w:space="0"/>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val="0"/>
                <w:bCs w:val="0"/>
                <w:szCs w:val="21"/>
              </w:rPr>
            </w:pPr>
            <w:r>
              <w:rPr>
                <w:rFonts w:hint="default" w:ascii="Times New Roman" w:hAnsi="Times New Roman" w:eastAsia="宋体"/>
                <w:b/>
                <w:bCs/>
                <w:szCs w:val="21"/>
              </w:rPr>
              <w:t>2021.07中国人民银行《金融机构环境信息披露指南》（银发〔2021〕199号文）</w:t>
            </w:r>
          </w:p>
        </w:tc>
        <w:tc>
          <w:tcPr>
            <w:tcW w:w="28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bCs/>
                <w:szCs w:val="21"/>
              </w:rPr>
            </w:pPr>
            <w:r>
              <w:rPr>
                <w:rFonts w:hint="default" w:ascii="Times New Roman" w:hAnsi="Times New Roman" w:eastAsia="宋体"/>
                <w:b/>
                <w:bCs/>
                <w:szCs w:val="21"/>
              </w:rPr>
              <w:t>2022.04</w:t>
            </w:r>
            <w:r>
              <w:rPr>
                <w:rFonts w:ascii="Times New Roman" w:hAnsi="Times New Roman" w:eastAsia="宋体"/>
                <w:b/>
                <w:bCs/>
                <w:szCs w:val="21"/>
              </w:rPr>
              <w:t>证监会《碳金融产品》行业标准</w:t>
            </w:r>
            <w:r>
              <w:rPr>
                <w:rFonts w:hint="default" w:ascii="Times New Roman" w:hAnsi="Times New Roman" w:eastAsia="宋体"/>
                <w:b/>
                <w:bCs/>
                <w:szCs w:val="21"/>
              </w:rPr>
              <w:t>(JR/T 0244—2022)</w:t>
            </w:r>
          </w:p>
        </w:tc>
        <w:tc>
          <w:tcPr>
            <w:tcW w:w="28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top w:val="single" w:color="5B9BD5" w:themeColor="accent5" w:sz="4" w:space="0"/>
              <w:bottom w:val="single" w:color="5B9BD5" w:themeColor="accent5" w:sz="4" w:space="0"/>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val="0"/>
                <w:bCs w:val="0"/>
                <w:szCs w:val="21"/>
              </w:rPr>
            </w:pPr>
            <w:r>
              <w:rPr>
                <w:rFonts w:hint="default" w:ascii="Times New Roman" w:hAnsi="Times New Roman" w:eastAsia="宋体"/>
                <w:b/>
                <w:bCs/>
                <w:szCs w:val="21"/>
              </w:rPr>
              <w:t>2022.06</w:t>
            </w:r>
            <w:r>
              <w:rPr>
                <w:rFonts w:ascii="Times New Roman" w:hAnsi="Times New Roman" w:eastAsia="宋体"/>
                <w:b/>
                <w:bCs/>
                <w:szCs w:val="21"/>
              </w:rPr>
              <w:t>银保监会《银行业保险业绿色金融指引》（银保监发〔</w:t>
            </w:r>
            <w:r>
              <w:rPr>
                <w:rFonts w:hint="default" w:ascii="Times New Roman" w:hAnsi="Times New Roman" w:eastAsia="宋体"/>
                <w:b/>
                <w:bCs/>
                <w:szCs w:val="21"/>
              </w:rPr>
              <w:t>2022〕15号）</w:t>
            </w:r>
          </w:p>
        </w:tc>
        <w:tc>
          <w:tcPr>
            <w:tcW w:w="28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bCs/>
                <w:szCs w:val="21"/>
              </w:rPr>
            </w:pPr>
            <w:r>
              <w:rPr>
                <w:rFonts w:hint="default" w:ascii="Times New Roman" w:hAnsi="Times New Roman" w:eastAsia="宋体"/>
                <w:b/>
                <w:bCs/>
                <w:szCs w:val="21"/>
              </w:rPr>
              <w:t>2022.07</w:t>
            </w:r>
            <w:r>
              <w:rPr>
                <w:rFonts w:ascii="Times New Roman" w:hAnsi="Times New Roman" w:eastAsia="宋体"/>
                <w:b/>
                <w:bCs/>
                <w:szCs w:val="21"/>
              </w:rPr>
              <w:t>广东省政府《广东省绿色金融支持碳达峰行动的实施方案》（粤办函〔</w:t>
            </w:r>
            <w:r>
              <w:rPr>
                <w:rFonts w:hint="default" w:ascii="Times New Roman" w:hAnsi="Times New Roman" w:eastAsia="宋体"/>
                <w:b/>
                <w:bCs/>
                <w:szCs w:val="21"/>
              </w:rPr>
              <w:t>2022〕219号）</w:t>
            </w:r>
          </w:p>
        </w:tc>
        <w:tc>
          <w:tcPr>
            <w:tcW w:w="28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top w:val="single" w:color="5B9BD5" w:themeColor="accent5" w:sz="4" w:space="0"/>
              <w:bottom w:val="single" w:color="5B9BD5" w:themeColor="accent5" w:sz="4" w:space="0"/>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bCs/>
                <w:szCs w:val="21"/>
              </w:rPr>
            </w:pPr>
            <w:r>
              <w:rPr>
                <w:rFonts w:hint="default" w:ascii="Times New Roman" w:hAnsi="Times New Roman" w:eastAsia="宋体"/>
                <w:b/>
                <w:bCs/>
                <w:szCs w:val="21"/>
              </w:rPr>
              <w:t>2022.07</w:t>
            </w:r>
            <w:r>
              <w:rPr>
                <w:rFonts w:ascii="Times New Roman" w:hAnsi="Times New Roman" w:eastAsia="宋体"/>
                <w:b/>
                <w:bCs/>
                <w:szCs w:val="21"/>
              </w:rPr>
              <w:t>广东省政府《关于完整准确全面贯彻新发展理念推进碳达峰碳中和工作的实施意见》</w:t>
            </w:r>
          </w:p>
        </w:tc>
        <w:tc>
          <w:tcPr>
            <w:tcW w:w="28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tcBorders>
              <w:top w:val="single" w:color="5B9BD5" w:themeColor="accent5" w:sz="4" w:space="0"/>
              <w:bottom w:val="single" w:color="5B9BD5" w:themeColor="accent5" w:sz="4" w:space="0"/>
            </w:tcBorders>
            <w:vAlign w:val="center"/>
          </w:tcPr>
          <w:p>
            <w:pPr>
              <w:pStyle w:val="2"/>
              <w:spacing w:line="360" w:lineRule="auto"/>
              <w:ind w:left="0" w:leftChars="0" w:firstLine="0" w:firstLineChars="0"/>
              <w:rPr>
                <w:rFonts w:hint="default" w:ascii="Times New Roman" w:hAnsi="Times New Roman" w:eastAsia="宋体"/>
                <w:szCs w:val="21"/>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0" w:space="0"/>
            <w:insideV w:val="none" w:color="auto" w:sz="0" w:space="0"/>
          </w:tblBorders>
          <w:tblCellMar>
            <w:top w:w="0" w:type="dxa"/>
            <w:left w:w="108" w:type="dxa"/>
            <w:bottom w:w="0" w:type="dxa"/>
            <w:right w:w="108" w:type="dxa"/>
          </w:tblCellMar>
        </w:tblPrEx>
        <w:tc>
          <w:tcPr>
            <w:tcW w:w="3794" w:type="dxa"/>
            <w:tcBorders>
              <w:right w:val="nil"/>
              <w:insideV w:val="nil"/>
            </w:tcBorders>
            <w:shd w:val="clear" w:color="auto" w:fill="FFFFFF" w:themeFill="background1"/>
            <w:vAlign w:val="center"/>
          </w:tcPr>
          <w:p>
            <w:pPr>
              <w:pStyle w:val="2"/>
              <w:spacing w:line="360" w:lineRule="auto"/>
              <w:ind w:left="0" w:leftChars="0" w:firstLine="0" w:firstLineChars="0"/>
              <w:rPr>
                <w:rFonts w:hint="default" w:ascii="Times New Roman" w:hAnsi="Times New Roman" w:eastAsia="宋体"/>
                <w:b/>
                <w:bCs/>
                <w:szCs w:val="21"/>
              </w:rPr>
            </w:pPr>
            <w:r>
              <w:rPr>
                <w:rFonts w:hint="default" w:ascii="Times New Roman" w:hAnsi="Times New Roman" w:eastAsia="宋体"/>
                <w:b/>
                <w:bCs/>
                <w:szCs w:val="21"/>
              </w:rPr>
              <w:t>2022.04</w:t>
            </w:r>
            <w:r>
              <w:rPr>
                <w:rFonts w:ascii="Times New Roman" w:hAnsi="Times New Roman" w:eastAsia="宋体"/>
                <w:b/>
                <w:bCs/>
                <w:szCs w:val="21"/>
              </w:rPr>
              <w:t>江门市金融工作局《江门市金融系统“惠民强企</w:t>
            </w:r>
            <w:r>
              <w:rPr>
                <w:rFonts w:hint="default" w:ascii="Times New Roman" w:hAnsi="Times New Roman" w:eastAsia="宋体"/>
                <w:b/>
                <w:bCs/>
                <w:szCs w:val="21"/>
              </w:rPr>
              <w:t xml:space="preserve"> </w:t>
            </w:r>
            <w:r>
              <w:rPr>
                <w:rFonts w:ascii="Times New Roman" w:hAnsi="Times New Roman" w:eastAsia="宋体"/>
                <w:b/>
                <w:bCs/>
                <w:szCs w:val="21"/>
              </w:rPr>
              <w:t>促富共裕”三年行动方案》</w:t>
            </w:r>
          </w:p>
        </w:tc>
        <w:tc>
          <w:tcPr>
            <w:tcW w:w="28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c>
          <w:tcPr>
            <w:tcW w:w="4253" w:type="dxa"/>
            <w:vMerge w:val="continue"/>
            <w:vAlign w:val="center"/>
          </w:tcPr>
          <w:p>
            <w:pPr>
              <w:pStyle w:val="2"/>
              <w:spacing w:line="360" w:lineRule="auto"/>
              <w:ind w:left="0" w:leftChars="0" w:firstLine="0" w:firstLineChars="0"/>
              <w:rPr>
                <w:rFonts w:hint="default" w:ascii="Times New Roman" w:hAnsi="Times New Roman" w:eastAsia="宋体"/>
                <w:szCs w:val="21"/>
              </w:rPr>
            </w:pPr>
          </w:p>
        </w:tc>
      </w:tr>
    </w:tbl>
    <w:p>
      <w:pPr>
        <w:pStyle w:val="56"/>
        <w:jc w:val="both"/>
        <w:outlineLvl w:val="9"/>
        <w:rPr>
          <w:rStyle w:val="51"/>
          <w:rFonts w:ascii="Times New Roman" w:hAnsi="Times New Roman" w:eastAsia="宋体" w:cs="宋体"/>
        </w:rPr>
      </w:pPr>
    </w:p>
    <w:p>
      <w:pPr>
        <w:pStyle w:val="5"/>
        <w:keepNext w:val="0"/>
        <w:keepLines w:val="0"/>
        <w:numPr>
          <w:ilvl w:val="0"/>
          <w:numId w:val="4"/>
        </w:numPr>
        <w:spacing w:line="360" w:lineRule="auto"/>
        <w:jc w:val="both"/>
        <w:rPr>
          <w:rFonts w:cstheme="minorBidi"/>
          <w:bCs w:val="0"/>
          <w:color w:val="2E75B6" w:themeColor="accent5" w:themeShade="BF"/>
        </w:rPr>
      </w:pPr>
      <w:bookmarkStart w:id="108" w:name="_Toc24545"/>
      <w:r>
        <w:rPr>
          <w:rFonts w:hint="eastAsia" w:cstheme="minorBidi"/>
          <w:bCs w:val="0"/>
          <w:color w:val="2E75B6" w:themeColor="accent5" w:themeShade="BF"/>
        </w:rPr>
        <w:t>遵守气候与环境国际公约、框架、倡议</w:t>
      </w:r>
      <w:bookmarkEnd w:id="108"/>
    </w:p>
    <w:p>
      <w:pPr>
        <w:spacing w:line="360" w:lineRule="auto"/>
        <w:ind w:firstLine="480" w:firstLineChars="200"/>
        <w:rPr>
          <w:rFonts w:ascii="Times New Roman" w:hAnsi="Times New Roman" w:eastAsia="宋体" w:cs="宋体"/>
          <w:sz w:val="24"/>
          <w:szCs w:val="28"/>
        </w:rPr>
      </w:pPr>
      <w:r>
        <w:rPr>
          <w:rFonts w:hint="eastAsia" w:ascii="Times New Roman" w:hAnsi="Times New Roman" w:eastAsia="宋体" w:cs="宋体"/>
          <w:sz w:val="24"/>
          <w:szCs w:val="28"/>
        </w:rPr>
        <w:t>本行积极推动投融资和自身经营的减碳行动，大力发展绿色金融，践行《粤港澳大湾区发展规划纲要》的文件精神，加速粤港澳大湾区建设成为生态环境优美、宜居宜业宜游的国际一流湾区，推动我国落实国家自主贡献的目标，维护国际《联合国气候变化框架公约》及《巴黎协定》确定的目标、原则和框架，支持构建公平合理、合作共赢的全球气候治理体系。</w:t>
      </w:r>
    </w:p>
    <w:p>
      <w:pPr>
        <w:spacing w:line="360" w:lineRule="auto"/>
        <w:rPr>
          <w:rFonts w:ascii="Times New Roman" w:hAnsi="Times New Roman"/>
        </w:rPr>
      </w:pPr>
      <w:bookmarkStart w:id="109" w:name="_Toc30846"/>
    </w:p>
    <w:p>
      <w:pPr>
        <w:pStyle w:val="4"/>
        <w:spacing w:line="360" w:lineRule="auto"/>
        <w:rPr>
          <w:color w:val="2E75B6" w:themeColor="accent5" w:themeShade="BF"/>
        </w:rPr>
      </w:pPr>
      <w:bookmarkStart w:id="110" w:name="_Toc17824"/>
      <w:bookmarkStart w:id="111" w:name="_Toc29622"/>
      <w:bookmarkStart w:id="112" w:name="_Toc32148"/>
      <w:bookmarkStart w:id="113" w:name="_Toc5301"/>
      <w:bookmarkStart w:id="114" w:name="_Toc27218"/>
      <w:r>
        <w:rPr>
          <w:color w:val="2E75B6" w:themeColor="accent5" w:themeShade="BF"/>
        </w:rPr>
        <w:br w:type="page"/>
      </w:r>
    </w:p>
    <w:p>
      <w:pPr>
        <w:pStyle w:val="4"/>
        <w:spacing w:line="360" w:lineRule="auto"/>
        <w:rPr>
          <w:color w:val="2E75B6" w:themeColor="accent5" w:themeShade="BF"/>
        </w:rPr>
      </w:pPr>
      <w:bookmarkStart w:id="115" w:name="_Toc22906"/>
      <w:r>
        <w:rPr>
          <w:rFonts w:hint="eastAsia"/>
          <w:color w:val="2E75B6" w:themeColor="accent5" w:themeShade="BF"/>
        </w:rPr>
        <w:t>第四部分 环境相关产品与服务创新</w:t>
      </w:r>
      <w:bookmarkEnd w:id="109"/>
      <w:bookmarkEnd w:id="110"/>
      <w:bookmarkEnd w:id="111"/>
      <w:bookmarkEnd w:id="112"/>
      <w:bookmarkEnd w:id="113"/>
      <w:bookmarkEnd w:id="114"/>
      <w:bookmarkEnd w:id="115"/>
      <w:bookmarkStart w:id="116" w:name="_Toc28308"/>
    </w:p>
    <w:p>
      <w:pPr>
        <w:spacing w:line="360" w:lineRule="auto"/>
        <w:rPr>
          <w:rFonts w:ascii="Times New Roman" w:hAnsi="Times New Roman" w:eastAsia="宋体" w:cs="宋体"/>
          <w:color w:val="2E75B6" w:themeColor="accent5" w:themeShade="BF"/>
          <w:sz w:val="24"/>
          <w:szCs w:val="24"/>
        </w:rPr>
      </w:pPr>
    </w:p>
    <w:p>
      <w:pPr>
        <w:spacing w:line="360" w:lineRule="auto"/>
        <w:ind w:firstLine="480" w:firstLineChars="200"/>
        <w:rPr>
          <w:rFonts w:ascii="Times New Roman" w:hAnsi="Times New Roman" w:eastAsia="黑体"/>
          <w:color w:val="385723" w:themeColor="accent6" w:themeShade="80"/>
          <w:sz w:val="28"/>
          <w:szCs w:val="28"/>
        </w:rPr>
      </w:pPr>
      <w:r>
        <w:rPr>
          <w:rFonts w:hint="eastAsia" w:ascii="Times New Roman" w:hAnsi="Times New Roman" w:eastAsia="宋体" w:cs="宋体"/>
          <w:sz w:val="24"/>
          <w:szCs w:val="28"/>
        </w:rPr>
        <w:t>为积极响应国家碳达峰碳中和战略部署，落实金融供给侧结构性改革，增强本行绿色金融供给水平和质量</w:t>
      </w:r>
      <w:r>
        <w:rPr>
          <w:rFonts w:ascii="Times New Roman" w:hAnsi="Times New Roman" w:eastAsia="宋体" w:cs="宋体"/>
          <w:sz w:val="24"/>
          <w:szCs w:val="28"/>
        </w:rPr>
        <w:t>。2022</w:t>
      </w:r>
      <w:r>
        <w:rPr>
          <w:rFonts w:hint="eastAsia" w:ascii="Times New Roman" w:hAnsi="Times New Roman" w:eastAsia="宋体" w:cs="宋体"/>
          <w:sz w:val="24"/>
          <w:szCs w:val="28"/>
          <w:lang w:eastAsia="zh-Hans"/>
        </w:rPr>
        <w:t>年</w:t>
      </w:r>
      <w:r>
        <w:rPr>
          <w:rFonts w:ascii="Times New Roman" w:hAnsi="Times New Roman" w:eastAsia="宋体" w:cs="宋体"/>
          <w:sz w:val="24"/>
          <w:szCs w:val="28"/>
          <w:lang w:eastAsia="zh-Hans"/>
        </w:rPr>
        <w:t>，</w:t>
      </w:r>
      <w:r>
        <w:rPr>
          <w:rFonts w:hint="eastAsia" w:ascii="Times New Roman" w:hAnsi="Times New Roman" w:eastAsia="宋体" w:cs="宋体"/>
          <w:sz w:val="24"/>
          <w:szCs w:val="28"/>
          <w:lang w:eastAsia="zh-Hans"/>
        </w:rPr>
        <w:t>本行立足当地发展需求</w:t>
      </w:r>
      <w:r>
        <w:rPr>
          <w:rFonts w:ascii="Times New Roman" w:hAnsi="Times New Roman" w:eastAsia="宋体" w:cs="宋体"/>
          <w:sz w:val="24"/>
          <w:szCs w:val="28"/>
          <w:lang w:eastAsia="zh-Hans"/>
        </w:rPr>
        <w:t>，</w:t>
      </w:r>
      <w:r>
        <w:rPr>
          <w:rFonts w:hint="eastAsia" w:ascii="Times New Roman" w:hAnsi="Times New Roman" w:eastAsia="宋体" w:cs="宋体"/>
          <w:sz w:val="24"/>
          <w:szCs w:val="28"/>
          <w:lang w:eastAsia="zh-Hans"/>
        </w:rPr>
        <w:t>围绕战略规划</w:t>
      </w:r>
      <w:r>
        <w:rPr>
          <w:rFonts w:ascii="Times New Roman" w:hAnsi="Times New Roman" w:eastAsia="宋体" w:cs="宋体"/>
          <w:sz w:val="24"/>
          <w:szCs w:val="28"/>
          <w:lang w:eastAsia="zh-Hans"/>
        </w:rPr>
        <w:t>，</w:t>
      </w:r>
      <w:r>
        <w:rPr>
          <w:rFonts w:hint="eastAsia" w:ascii="Times New Roman" w:hAnsi="Times New Roman" w:eastAsia="宋体" w:cs="宋体"/>
          <w:sz w:val="24"/>
          <w:szCs w:val="28"/>
          <w:lang w:eastAsia="zh-Hans"/>
        </w:rPr>
        <w:t>积极探索绿色金融产品与服务</w:t>
      </w:r>
      <w:r>
        <w:rPr>
          <w:rFonts w:ascii="Times New Roman" w:hAnsi="Times New Roman" w:eastAsia="宋体" w:cs="宋体"/>
          <w:sz w:val="24"/>
          <w:szCs w:val="28"/>
          <w:lang w:eastAsia="zh-Hans"/>
        </w:rPr>
        <w:t>，</w:t>
      </w:r>
      <w:r>
        <w:rPr>
          <w:rFonts w:hint="eastAsia" w:ascii="Times New Roman" w:hAnsi="Times New Roman" w:eastAsia="宋体" w:cs="宋体"/>
          <w:sz w:val="24"/>
          <w:szCs w:val="28"/>
          <w:lang w:eastAsia="zh-Hans"/>
        </w:rPr>
        <w:t>完善绿色金融服务体系</w:t>
      </w:r>
      <w:r>
        <w:rPr>
          <w:rFonts w:ascii="Times New Roman" w:hAnsi="Times New Roman" w:eastAsia="宋体" w:cs="宋体"/>
          <w:sz w:val="24"/>
          <w:szCs w:val="28"/>
          <w:lang w:eastAsia="zh-Hans"/>
        </w:rPr>
        <w:t>，</w:t>
      </w:r>
      <w:r>
        <w:rPr>
          <w:rFonts w:hint="eastAsia" w:ascii="Times New Roman" w:hAnsi="Times New Roman" w:eastAsia="宋体" w:cs="宋体"/>
          <w:sz w:val="24"/>
          <w:szCs w:val="28"/>
        </w:rPr>
        <w:t>将环境相关绿色金融产品和服务创新作为重要工作之一。</w:t>
      </w:r>
    </w:p>
    <w:bookmarkEnd w:id="116"/>
    <w:p>
      <w:pPr>
        <w:pStyle w:val="5"/>
        <w:keepNext w:val="0"/>
        <w:keepLines w:val="0"/>
        <w:numPr>
          <w:ilvl w:val="0"/>
          <w:numId w:val="6"/>
        </w:numPr>
        <w:spacing w:line="360" w:lineRule="auto"/>
        <w:jc w:val="both"/>
        <w:rPr>
          <w:rFonts w:cstheme="minorBidi"/>
          <w:bCs w:val="0"/>
          <w:color w:val="2E75B6" w:themeColor="accent5" w:themeShade="BF"/>
        </w:rPr>
      </w:pPr>
      <w:bookmarkStart w:id="117" w:name="_Toc11824"/>
      <w:bookmarkStart w:id="118" w:name="_Toc30343"/>
      <w:bookmarkStart w:id="119" w:name="_Toc26587"/>
      <w:bookmarkStart w:id="120" w:name="_Toc24894"/>
      <w:bookmarkStart w:id="121" w:name="_Toc23239"/>
      <w:r>
        <w:rPr>
          <w:rFonts w:hint="eastAsia" w:cstheme="minorBidi"/>
          <w:bCs w:val="0"/>
          <w:color w:val="2E75B6" w:themeColor="accent5" w:themeShade="BF"/>
        </w:rPr>
        <w:t>绿色金融产品创新：碳排放配额抵押贷款</w:t>
      </w:r>
      <w:bookmarkEnd w:id="117"/>
      <w:bookmarkEnd w:id="118"/>
      <w:bookmarkEnd w:id="119"/>
      <w:bookmarkEnd w:id="120"/>
      <w:bookmarkEnd w:id="121"/>
    </w:p>
    <w:p>
      <w:pPr>
        <w:spacing w:line="360" w:lineRule="auto"/>
        <w:ind w:firstLine="456" w:firstLineChars="200"/>
        <w:rPr>
          <w:rFonts w:ascii="Times New Roman" w:hAnsi="Times New Roman" w:eastAsia="宋体" w:cs="宋体"/>
          <w:snapToGrid w:val="0"/>
          <w:spacing w:val="-6"/>
          <w:kern w:val="0"/>
          <w:sz w:val="24"/>
          <w:szCs w:val="20"/>
        </w:rPr>
      </w:pPr>
      <w:r>
        <w:rPr>
          <w:rFonts w:hint="eastAsia" w:ascii="Times New Roman" w:hAnsi="Times New Roman" w:eastAsia="宋体" w:cs="宋体"/>
          <w:snapToGrid w:val="0"/>
          <w:spacing w:val="-6"/>
          <w:kern w:val="0"/>
          <w:sz w:val="24"/>
          <w:szCs w:val="20"/>
        </w:rPr>
        <w:t>本行为进一步挖掘绿色金融市场潜力，推行绿色、低碳、环保的可持续发展理念，印发《江门农村商业银行股份有限公司</w:t>
      </w:r>
      <w:bookmarkStart w:id="122" w:name="_Hlk132199495"/>
      <w:r>
        <w:rPr>
          <w:rFonts w:hint="eastAsia" w:ascii="Times New Roman" w:hAnsi="Times New Roman" w:eastAsia="宋体" w:cs="宋体"/>
          <w:snapToGrid w:val="0"/>
          <w:spacing w:val="-6"/>
          <w:kern w:val="0"/>
          <w:sz w:val="24"/>
          <w:szCs w:val="20"/>
        </w:rPr>
        <w:t>碳排放配额抵押贷款</w:t>
      </w:r>
      <w:bookmarkEnd w:id="122"/>
      <w:r>
        <w:rPr>
          <w:rFonts w:hint="eastAsia" w:ascii="Times New Roman" w:hAnsi="Times New Roman" w:eastAsia="宋体" w:cs="宋体"/>
          <w:snapToGrid w:val="0"/>
          <w:spacing w:val="-6"/>
          <w:kern w:val="0"/>
          <w:sz w:val="24"/>
          <w:szCs w:val="20"/>
        </w:rPr>
        <w:t>实施细则（</w:t>
      </w:r>
      <w:r>
        <w:rPr>
          <w:rFonts w:ascii="Times New Roman" w:hAnsi="Times New Roman" w:eastAsia="宋体" w:cs="宋体"/>
          <w:snapToGrid w:val="0"/>
          <w:spacing w:val="-6"/>
          <w:kern w:val="0"/>
          <w:sz w:val="24"/>
          <w:szCs w:val="20"/>
        </w:rPr>
        <w:t>2022年版）》</w:t>
      </w:r>
      <w:r>
        <w:rPr>
          <w:rFonts w:hint="eastAsia" w:ascii="Times New Roman" w:hAnsi="Times New Roman" w:eastAsia="宋体" w:cs="宋体"/>
          <w:snapToGrid w:val="0"/>
          <w:spacing w:val="-6"/>
          <w:kern w:val="0"/>
          <w:sz w:val="24"/>
          <w:szCs w:val="20"/>
        </w:rPr>
        <w:t>，落地“碳排放配额抵押贷款”产品。</w:t>
      </w:r>
    </w:p>
    <w:p>
      <w:pPr>
        <w:spacing w:line="360" w:lineRule="auto"/>
        <w:ind w:firstLine="456" w:firstLineChars="200"/>
        <w:rPr>
          <w:rFonts w:ascii="Times New Roman" w:hAnsi="Times New Roman" w:eastAsia="宋体" w:cs="宋体"/>
          <w:bCs/>
          <w:snapToGrid w:val="0"/>
          <w:spacing w:val="-6"/>
          <w:kern w:val="0"/>
          <w:sz w:val="24"/>
          <w:szCs w:val="20"/>
        </w:rPr>
      </w:pPr>
      <w:r>
        <w:rPr>
          <w:rFonts w:hint="eastAsia" w:ascii="Times New Roman" w:hAnsi="Times New Roman" w:eastAsia="宋体" w:cs="宋体"/>
          <w:snapToGrid w:val="0"/>
          <w:spacing w:val="-6"/>
          <w:kern w:val="0"/>
          <w:sz w:val="24"/>
          <w:szCs w:val="20"/>
        </w:rPr>
        <w:t>本行推出的碳排放配额抵押贷款是将碳排放配额作为抵押物，抵押融资所获款项投入到企业自身经营中。碳排放配额抵押贷款不仅为控排企业增加了融资渠道，并支持控排企业更科学管理碳资产，将短期闲置的碳配额进行有效盘活，具有环境、经济双重效益。</w:t>
      </w:r>
    </w:p>
    <w:p>
      <w:pPr>
        <w:pStyle w:val="5"/>
        <w:keepNext w:val="0"/>
        <w:keepLines w:val="0"/>
        <w:numPr>
          <w:ilvl w:val="0"/>
          <w:numId w:val="6"/>
        </w:numPr>
        <w:spacing w:line="360" w:lineRule="auto"/>
        <w:jc w:val="both"/>
        <w:rPr>
          <w:rFonts w:cstheme="minorBidi"/>
          <w:bCs w:val="0"/>
          <w:color w:val="2E75B6" w:themeColor="accent5" w:themeShade="BF"/>
        </w:rPr>
      </w:pPr>
      <w:bookmarkStart w:id="123" w:name="_Toc15653"/>
      <w:bookmarkStart w:id="124" w:name="_Toc11294"/>
      <w:bookmarkStart w:id="125" w:name="_Toc16230"/>
      <w:bookmarkStart w:id="126" w:name="_Toc2605"/>
      <w:bookmarkStart w:id="127" w:name="_Toc10435"/>
      <w:r>
        <w:rPr>
          <w:rFonts w:hint="eastAsia" w:cstheme="minorBidi"/>
          <w:bCs w:val="0"/>
          <w:color w:val="2E75B6" w:themeColor="accent5" w:themeShade="BF"/>
        </w:rPr>
        <w:t>绿色金融系统创新</w:t>
      </w:r>
      <w:r>
        <w:rPr>
          <w:rFonts w:cstheme="minorBidi"/>
          <w:bCs w:val="0"/>
          <w:color w:val="2E75B6" w:themeColor="accent5" w:themeShade="BF"/>
        </w:rPr>
        <w:t>：</w:t>
      </w:r>
      <w:r>
        <w:rPr>
          <w:rFonts w:hint="eastAsia" w:cstheme="minorBidi"/>
          <w:bCs w:val="0"/>
          <w:color w:val="2E75B6" w:themeColor="accent5" w:themeShade="BF"/>
        </w:rPr>
        <w:t>环境效益测算系统</w:t>
      </w:r>
      <w:bookmarkEnd w:id="123"/>
      <w:bookmarkEnd w:id="124"/>
      <w:bookmarkEnd w:id="125"/>
      <w:bookmarkEnd w:id="126"/>
      <w:bookmarkEnd w:id="127"/>
    </w:p>
    <w:p>
      <w:pPr>
        <w:spacing w:line="360" w:lineRule="auto"/>
        <w:ind w:firstLine="456" w:firstLineChars="200"/>
        <w:rPr>
          <w:rFonts w:ascii="Times New Roman" w:hAnsi="Times New Roman"/>
        </w:rPr>
      </w:pPr>
      <w:bookmarkStart w:id="128" w:name="_Toc23086"/>
      <w:bookmarkStart w:id="129" w:name="_Toc29889"/>
      <w:bookmarkStart w:id="130" w:name="_Toc5449"/>
      <w:r>
        <w:rPr>
          <w:rFonts w:hint="eastAsia" w:ascii="Times New Roman" w:hAnsi="Times New Roman" w:eastAsia="宋体" w:cs="宋体"/>
          <w:snapToGrid w:val="0"/>
          <w:spacing w:val="-6"/>
          <w:kern w:val="0"/>
          <w:sz w:val="24"/>
          <w:szCs w:val="20"/>
        </w:rPr>
        <w:t>本行充分认识到数字化对绿色金融业务的重要性和支撑性作用，推动搭建环境效益测算系统，并由风险管理部牵头完成系统测试工作。该系统将协助本行科学定量地测算绿色项目产生的环境效益，降低业务人员核算和统计成本，加强环境信息披露指标的标准化和透明度，提升整体环境信息披露的质量，有利于对接监管机构的信息统计要求和指标评价要求。</w:t>
      </w:r>
      <w:bookmarkEnd w:id="128"/>
      <w:bookmarkEnd w:id="129"/>
      <w:bookmarkEnd w:id="130"/>
    </w:p>
    <w:p>
      <w:pPr>
        <w:pStyle w:val="5"/>
        <w:keepNext w:val="0"/>
        <w:keepLines w:val="0"/>
        <w:numPr>
          <w:ilvl w:val="0"/>
          <w:numId w:val="6"/>
        </w:numPr>
        <w:spacing w:line="360" w:lineRule="auto"/>
        <w:jc w:val="both"/>
        <w:rPr>
          <w:rFonts w:cstheme="minorBidi"/>
          <w:bCs w:val="0"/>
          <w:color w:val="2E75B6" w:themeColor="accent5" w:themeShade="BF"/>
        </w:rPr>
      </w:pPr>
      <w:bookmarkStart w:id="131" w:name="_Toc32709"/>
      <w:bookmarkStart w:id="132" w:name="_Toc23156"/>
      <w:bookmarkStart w:id="133" w:name="_Toc26222"/>
      <w:bookmarkStart w:id="134" w:name="_Toc31916"/>
      <w:bookmarkStart w:id="135" w:name="_Toc13460"/>
      <w:r>
        <w:rPr>
          <w:rFonts w:hint="eastAsia" w:cstheme="minorBidi"/>
          <w:bCs w:val="0"/>
          <w:color w:val="2E75B6" w:themeColor="accent5" w:themeShade="BF"/>
        </w:rPr>
        <w:t>绿色金融课题研究：《金融机构环境信息披露难点及建议》</w:t>
      </w:r>
      <w:bookmarkEnd w:id="131"/>
      <w:bookmarkEnd w:id="132"/>
      <w:bookmarkEnd w:id="133"/>
      <w:bookmarkEnd w:id="134"/>
      <w:bookmarkEnd w:id="135"/>
    </w:p>
    <w:p>
      <w:pPr>
        <w:tabs>
          <w:tab w:val="left" w:pos="6800"/>
        </w:tabs>
        <w:spacing w:line="360" w:lineRule="auto"/>
        <w:ind w:firstLine="480" w:firstLineChars="200"/>
        <w:rPr>
          <w:rFonts w:ascii="Times New Roman" w:hAnsi="Times New Roman" w:eastAsia="宋体" w:cs="宋体"/>
          <w:color w:val="000000"/>
          <w:sz w:val="24"/>
          <w:szCs w:val="24"/>
          <w:shd w:val="clear" w:color="auto" w:fill="FFFFFF"/>
          <w:lang w:eastAsia="zh-Hans"/>
        </w:rPr>
      </w:pPr>
      <w:r>
        <w:rPr>
          <w:rFonts w:ascii="Times New Roman" w:hAnsi="Times New Roman" w:eastAsia="宋体" w:cs="宋体"/>
          <w:color w:val="000000"/>
          <w:sz w:val="24"/>
          <w:szCs w:val="24"/>
          <w:shd w:val="clear" w:color="auto" w:fill="FFFFFF"/>
        </w:rPr>
        <w:t>本行</w:t>
      </w:r>
      <w:r>
        <w:rPr>
          <w:rFonts w:hint="eastAsia" w:ascii="Times New Roman" w:hAnsi="Times New Roman" w:eastAsia="宋体" w:cs="宋体"/>
          <w:color w:val="000000"/>
          <w:sz w:val="24"/>
          <w:szCs w:val="24"/>
          <w:shd w:val="clear" w:color="auto" w:fill="FFFFFF"/>
        </w:rPr>
        <w:t>报告期内参选的</w:t>
      </w:r>
      <w:r>
        <w:rPr>
          <w:rFonts w:hint="eastAsia" w:ascii="Times New Roman" w:hAnsi="Times New Roman" w:eastAsia="宋体" w:cs="宋体"/>
          <w:color w:val="000000"/>
          <w:sz w:val="24"/>
          <w:szCs w:val="24"/>
          <w:shd w:val="clear" w:color="auto" w:fill="FFFFFF"/>
          <w:lang w:eastAsia="zh-Hans"/>
        </w:rPr>
        <w:t>广东金融学会绿色金融专业委员会</w:t>
      </w:r>
      <w:r>
        <w:rPr>
          <w:rFonts w:ascii="Times New Roman" w:hAnsi="Times New Roman" w:eastAsia="宋体" w:cs="宋体"/>
          <w:color w:val="000000"/>
          <w:sz w:val="24"/>
          <w:szCs w:val="24"/>
          <w:shd w:val="clear" w:color="auto" w:fill="FFFFFF"/>
          <w:lang w:eastAsia="zh-Hans"/>
        </w:rPr>
        <w:t>2022</w:t>
      </w:r>
      <w:r>
        <w:rPr>
          <w:rFonts w:hint="eastAsia" w:ascii="Times New Roman" w:hAnsi="Times New Roman" w:eastAsia="宋体" w:cs="宋体"/>
          <w:color w:val="000000"/>
          <w:sz w:val="24"/>
          <w:szCs w:val="24"/>
          <w:shd w:val="clear" w:color="auto" w:fill="FFFFFF"/>
          <w:lang w:eastAsia="zh-Hans"/>
        </w:rPr>
        <w:t>年绿色金融专项课题——《</w:t>
      </w:r>
      <w:bookmarkStart w:id="136" w:name="_Hlk132195971"/>
      <w:r>
        <w:rPr>
          <w:rFonts w:hint="eastAsia" w:ascii="Times New Roman" w:hAnsi="Times New Roman" w:eastAsia="宋体" w:cs="宋体"/>
          <w:color w:val="000000"/>
          <w:sz w:val="24"/>
          <w:szCs w:val="24"/>
          <w:shd w:val="clear" w:color="auto" w:fill="FFFFFF"/>
          <w:lang w:eastAsia="zh-Hans"/>
        </w:rPr>
        <w:t>金融机构环境信息披露难点及建议》</w:t>
      </w:r>
      <w:bookmarkEnd w:id="136"/>
      <w:r>
        <w:rPr>
          <w:rFonts w:hint="eastAsia" w:ascii="Times New Roman" w:hAnsi="Times New Roman" w:eastAsia="宋体" w:cs="宋体"/>
          <w:color w:val="000000"/>
          <w:sz w:val="24"/>
          <w:szCs w:val="24"/>
          <w:shd w:val="clear" w:color="auto" w:fill="FFFFFF"/>
          <w:lang w:eastAsia="zh-Hans"/>
        </w:rPr>
        <w:t>荣获一等奖。</w:t>
      </w:r>
    </w:p>
    <w:p>
      <w:pPr>
        <w:tabs>
          <w:tab w:val="left" w:pos="6800"/>
        </w:tabs>
        <w:spacing w:line="360" w:lineRule="auto"/>
        <w:ind w:firstLine="480" w:firstLineChars="200"/>
        <w:rPr>
          <w:rFonts w:ascii="Times New Roman" w:hAnsi="Times New Roman" w:eastAsia="宋体" w:cs="宋体"/>
          <w:color w:val="000000"/>
          <w:sz w:val="24"/>
          <w:szCs w:val="24"/>
          <w:shd w:val="clear" w:color="auto" w:fill="FFFFFF"/>
          <w:lang w:eastAsia="zh-Hans"/>
        </w:rPr>
      </w:pPr>
      <w:r>
        <w:rPr>
          <w:rFonts w:hint="eastAsia" w:ascii="Times New Roman" w:hAnsi="Times New Roman" w:eastAsia="宋体" w:cs="宋体"/>
          <w:color w:val="000000"/>
          <w:sz w:val="24"/>
          <w:szCs w:val="24"/>
          <w:shd w:val="clear" w:color="auto" w:fill="FFFFFF"/>
          <w:lang w:eastAsia="zh-Hans"/>
        </w:rPr>
        <w:t>该课题指出金融机构环境信息披露是环境风险管理的重要一环，金融机构应将开展环境信息披露的行为辐射至实体经济，促进绿色、低碳社会加快发展。同时提出完善环境信息披露相关指引，推广环境与气候风险情景分析和压力测试，引导强化金融机构环境信息披露能力，依托碳账户等打造环境信息共享平台，充分利用金融科技赋能环境信息披露及其碳核算等金融机构环境信息披露实践建议。</w:t>
      </w:r>
      <w:bookmarkStart w:id="137" w:name="_Toc113969327"/>
      <w:bookmarkStart w:id="138" w:name="_Toc6014"/>
      <w:bookmarkStart w:id="139" w:name="_Toc30423"/>
      <w:bookmarkStart w:id="140" w:name="_Toc14020"/>
      <w:bookmarkStart w:id="141" w:name="_Toc1062"/>
      <w:bookmarkStart w:id="142" w:name="_Toc4303"/>
      <w:bookmarkStart w:id="143" w:name="_Toc8783"/>
      <w:r>
        <w:rPr>
          <w:rFonts w:ascii="Times New Roman" w:hAnsi="Times New Roman" w:eastAsia="宋体" w:cs="宋体"/>
          <w:color w:val="000000"/>
          <w:sz w:val="24"/>
          <w:szCs w:val="24"/>
          <w:shd w:val="clear" w:color="auto" w:fill="FFFFFF"/>
          <w:lang w:eastAsia="zh-Hans"/>
        </w:rPr>
        <w:br w:type="page"/>
      </w:r>
    </w:p>
    <w:p>
      <w:pPr>
        <w:pStyle w:val="4"/>
        <w:spacing w:line="360" w:lineRule="auto"/>
        <w:rPr>
          <w:color w:val="2E75B6" w:themeColor="accent5" w:themeShade="BF"/>
        </w:rPr>
      </w:pPr>
      <w:bookmarkStart w:id="144" w:name="_Toc11653"/>
      <w:r>
        <w:rPr>
          <w:rFonts w:hint="eastAsia"/>
          <w:color w:val="2E75B6" w:themeColor="accent5" w:themeShade="BF"/>
        </w:rPr>
        <w:t>第五部分 环境风险管理</w:t>
      </w:r>
      <w:bookmarkEnd w:id="137"/>
      <w:r>
        <w:rPr>
          <w:rFonts w:hint="eastAsia"/>
          <w:color w:val="2E75B6" w:themeColor="accent5" w:themeShade="BF"/>
        </w:rPr>
        <w:t>流程</w:t>
      </w:r>
      <w:bookmarkEnd w:id="138"/>
      <w:bookmarkEnd w:id="139"/>
      <w:bookmarkEnd w:id="140"/>
      <w:bookmarkEnd w:id="141"/>
      <w:bookmarkEnd w:id="142"/>
      <w:bookmarkEnd w:id="143"/>
      <w:bookmarkEnd w:id="144"/>
      <w:bookmarkStart w:id="145" w:name="_Toc22895"/>
    </w:p>
    <w:p>
      <w:pPr>
        <w:spacing w:line="360" w:lineRule="auto"/>
        <w:rPr>
          <w:rFonts w:ascii="Times New Roman" w:hAnsi="Times New Roman" w:eastAsia="楷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sz w:val="24"/>
          <w:szCs w:val="24"/>
        </w:rPr>
        <w:t>本行关注业务活动可能对环境产生的潜在影响和引发的风险，建立贯穿信贷流程的</w:t>
      </w:r>
      <w:r>
        <w:rPr>
          <w:rFonts w:ascii="Times New Roman" w:hAnsi="Times New Roman" w:eastAsia="宋体"/>
          <w:sz w:val="24"/>
          <w:szCs w:val="24"/>
        </w:rPr>
        <w:t>环境</w:t>
      </w:r>
      <w:r>
        <w:rPr>
          <w:rFonts w:hint="eastAsia" w:ascii="Times New Roman" w:hAnsi="Times New Roman" w:eastAsia="宋体"/>
          <w:sz w:val="24"/>
          <w:szCs w:val="24"/>
        </w:rPr>
        <w:t>风险识</w:t>
      </w:r>
      <w:r>
        <w:rPr>
          <w:rFonts w:ascii="Times New Roman" w:hAnsi="Times New Roman" w:eastAsia="宋体"/>
          <w:sz w:val="24"/>
          <w:szCs w:val="24"/>
        </w:rPr>
        <w:t>别</w:t>
      </w:r>
      <w:r>
        <w:rPr>
          <w:rFonts w:hint="eastAsia" w:ascii="Times New Roman" w:hAnsi="Times New Roman" w:eastAsia="宋体"/>
          <w:sz w:val="24"/>
          <w:szCs w:val="24"/>
        </w:rPr>
        <w:t>、</w:t>
      </w:r>
      <w:r>
        <w:rPr>
          <w:rFonts w:ascii="Times New Roman" w:hAnsi="Times New Roman" w:eastAsia="宋体"/>
          <w:sz w:val="24"/>
          <w:szCs w:val="24"/>
        </w:rPr>
        <w:t>评估、管理和控制</w:t>
      </w:r>
      <w:r>
        <w:rPr>
          <w:rFonts w:hint="eastAsia" w:ascii="Times New Roman" w:hAnsi="Times New Roman" w:eastAsia="宋体"/>
          <w:sz w:val="24"/>
          <w:szCs w:val="24"/>
        </w:rPr>
        <w:t>的机制</w:t>
      </w:r>
      <w:r>
        <w:rPr>
          <w:rFonts w:ascii="Times New Roman" w:hAnsi="Times New Roman" w:eastAsia="宋体"/>
          <w:sz w:val="24"/>
          <w:szCs w:val="24"/>
        </w:rPr>
        <w:t>。</w:t>
      </w:r>
    </w:p>
    <w:p>
      <w:pPr>
        <w:pStyle w:val="72"/>
        <w:spacing w:line="360" w:lineRule="auto"/>
        <w:rPr>
          <w:rFonts w:ascii="Times New Roman" w:hAnsi="Times New Roman"/>
        </w:rPr>
      </w:pPr>
      <w:r>
        <w:rPr>
          <w:rFonts w:hint="eastAsia" w:ascii="Times New Roman" w:hAnsi="Times New Roman"/>
        </w:rPr>
        <w:t xml:space="preserve"> </w:t>
      </w:r>
    </w:p>
    <w:p>
      <w:pPr>
        <w:numPr>
          <w:ilvl w:val="0"/>
          <w:numId w:val="7"/>
        </w:numPr>
        <w:spacing w:line="360" w:lineRule="auto"/>
        <w:rPr>
          <w:rFonts w:ascii="Times New Roman" w:hAnsi="Times New Roman" w:cs="黑体"/>
          <w:color w:val="2E75B5"/>
        </w:rPr>
      </w:pPr>
      <w:r>
        <w:rPr>
          <w:rFonts w:hint="eastAsia" w:ascii="Times New Roman" w:hAnsi="Times New Roman" w:eastAsia="黑体"/>
          <w:b/>
          <w:bCs/>
          <w:color w:val="2E75B5"/>
          <w:sz w:val="24"/>
          <w:szCs w:val="24"/>
        </w:rPr>
        <w:t>贷前阶段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sz w:val="24"/>
          <w:szCs w:val="24"/>
        </w:rPr>
        <w:t>本行各经营单位加强尽职调查环节对环境和社会风险的信息收集与分析，结合客户及其项目所处行业、区域特点，形成详细的调查报告，为贷款审查审批提供参考。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sz w:val="24"/>
          <w:szCs w:val="24"/>
        </w:rPr>
        <w:t>差别化授信管理。</w:t>
      </w:r>
      <w:r>
        <w:rPr>
          <w:rFonts w:hint="eastAsia" w:ascii="Times New Roman" w:hAnsi="Times New Roman" w:eastAsia="宋体"/>
          <w:spacing w:val="-6"/>
          <w:kern w:val="0"/>
          <w:sz w:val="24"/>
          <w:szCs w:val="24"/>
        </w:rPr>
        <w:t>为有效防范和管理客户的环境与社会风险，</w:t>
      </w:r>
      <w:r>
        <w:rPr>
          <w:rFonts w:hint="eastAsia" w:ascii="Times New Roman" w:hAnsi="Times New Roman" w:eastAsia="宋体"/>
          <w:sz w:val="24"/>
          <w:szCs w:val="24"/>
        </w:rPr>
        <w:t>本行实施行业授信差别化管理，应用环境信用评价结果，明确未取得环评审批报告或者环保设施验收的项目、环境信用评价结果为红牌等级的企业列入</w:t>
      </w:r>
      <w:r>
        <w:rPr>
          <w:rFonts w:ascii="Times New Roman" w:hAnsi="Times New Roman" w:eastAsia="宋体" w:cs="宋体"/>
          <w:sz w:val="24"/>
          <w:szCs w:val="24"/>
        </w:rPr>
        <w:t>2022</w:t>
      </w:r>
      <w:r>
        <w:rPr>
          <w:rFonts w:hint="eastAsia" w:ascii="Times New Roman" w:hAnsi="Times New Roman" w:eastAsia="宋体"/>
          <w:sz w:val="24"/>
          <w:szCs w:val="24"/>
        </w:rPr>
        <w:t>年禁止新增贷款立项。</w:t>
      </w:r>
    </w:p>
    <w:p>
      <w:pPr>
        <w:spacing w:line="360" w:lineRule="auto"/>
        <w:ind w:firstLine="456" w:firstLineChars="200"/>
        <w:rPr>
          <w:rFonts w:ascii="Times New Roman" w:hAnsi="Times New Roman" w:eastAsia="宋体" w:cs="宋体"/>
          <w:spacing w:val="-6"/>
          <w:kern w:val="0"/>
          <w:sz w:val="24"/>
          <w:szCs w:val="24"/>
        </w:rPr>
      </w:pPr>
      <w:r>
        <w:rPr>
          <w:rFonts w:hint="eastAsia" w:ascii="Times New Roman" w:hAnsi="Times New Roman" w:eastAsia="宋体"/>
          <w:spacing w:val="-6"/>
          <w:kern w:val="0"/>
          <w:sz w:val="24"/>
          <w:szCs w:val="24"/>
        </w:rPr>
        <w:t>严控“两高一剩”行业授信。出台《关于建立限控行业贷款额度管控制度的通知》，决定对存在环境和社会风险的客户实行名单制管理，建立限控行业贷款额度管控制度，从严控制“两高一剩”行业的新增授信。</w:t>
      </w:r>
    </w:p>
    <w:p>
      <w:pPr>
        <w:numPr>
          <w:ilvl w:val="0"/>
          <w:numId w:val="7"/>
        </w:numPr>
        <w:spacing w:line="360" w:lineRule="auto"/>
        <w:rPr>
          <w:rFonts w:ascii="Times New Roman" w:hAnsi="Times New Roman" w:eastAsia="黑体" w:cs="黑体"/>
          <w:b/>
          <w:bCs/>
          <w:color w:val="2E75B5"/>
          <w:sz w:val="24"/>
          <w:szCs w:val="24"/>
        </w:rPr>
      </w:pPr>
      <w:r>
        <w:rPr>
          <w:rFonts w:hint="eastAsia" w:ascii="Times New Roman" w:hAnsi="Times New Roman" w:eastAsia="黑体"/>
          <w:b/>
          <w:bCs/>
          <w:color w:val="2E75B5"/>
          <w:sz w:val="24"/>
          <w:szCs w:val="24"/>
        </w:rPr>
        <w:t>贷中审查审批</w:t>
      </w:r>
    </w:p>
    <w:p>
      <w:pPr>
        <w:spacing w:line="360" w:lineRule="auto"/>
        <w:ind w:firstLine="456" w:firstLineChars="200"/>
        <w:rPr>
          <w:rFonts w:ascii="Times New Roman" w:hAnsi="Times New Roman" w:eastAsia="宋体" w:cs="宋体"/>
          <w:spacing w:val="-6"/>
          <w:kern w:val="0"/>
          <w:sz w:val="24"/>
          <w:szCs w:val="24"/>
        </w:rPr>
      </w:pPr>
      <w:r>
        <w:rPr>
          <w:rFonts w:ascii="Times New Roman" w:hAnsi="Times New Roman" w:eastAsia="宋体" w:cs="宋体"/>
          <w:spacing w:val="-6"/>
          <w:kern w:val="0"/>
          <w:sz w:val="24"/>
          <w:szCs w:val="24"/>
        </w:rPr>
        <w:t>本行对拟授信客户进行严格的合规审查，针对不同行业的客户特点，提交相关的环境保护资料，确保客户对相关风险点有足够的重视和有效的动态控制，符合实质合规要求。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sz w:val="24"/>
          <w:szCs w:val="24"/>
        </w:rPr>
        <w:t>严格审查企业环境风险。制定了《江门农村商业银行股份有限公司绿色信贷管理办法》，在贷款审查环节，落实“环保一票否决”审批制度，对涉及落后产能项目、节能环保不达标、安全生产不达标、严重污染环境且整改无望的企业，严禁提供任何形式的新增授信支持。</w:t>
      </w:r>
    </w:p>
    <w:p>
      <w:pPr>
        <w:numPr>
          <w:ilvl w:val="0"/>
          <w:numId w:val="7"/>
        </w:numPr>
        <w:spacing w:line="360" w:lineRule="auto"/>
        <w:rPr>
          <w:rFonts w:ascii="Times New Roman" w:hAnsi="Times New Roman" w:eastAsia="黑体"/>
          <w:b/>
          <w:bCs/>
          <w:color w:val="2E75B5"/>
          <w:sz w:val="24"/>
          <w:szCs w:val="24"/>
        </w:rPr>
      </w:pPr>
      <w:r>
        <w:rPr>
          <w:rFonts w:hint="eastAsia" w:ascii="Times New Roman" w:hAnsi="Times New Roman" w:eastAsia="黑体"/>
          <w:b/>
          <w:bCs/>
          <w:color w:val="2E75B5"/>
          <w:sz w:val="24"/>
          <w:szCs w:val="24"/>
        </w:rPr>
        <w:t>贷款发放</w:t>
      </w:r>
    </w:p>
    <w:p>
      <w:pPr>
        <w:spacing w:line="360" w:lineRule="auto"/>
        <w:ind w:firstLine="480" w:firstLineChars="200"/>
        <w:rPr>
          <w:rFonts w:ascii="Times New Roman" w:hAnsi="Times New Roman" w:eastAsia="宋体" w:cs="宋体"/>
          <w:position w:val="-1"/>
          <w:sz w:val="24"/>
          <w:szCs w:val="24"/>
        </w:rPr>
      </w:pPr>
      <w:r>
        <w:rPr>
          <w:rFonts w:hint="eastAsia" w:ascii="Times New Roman" w:hAnsi="Times New Roman" w:eastAsia="宋体"/>
          <w:position w:val="-1"/>
          <w:sz w:val="24"/>
          <w:szCs w:val="24"/>
        </w:rPr>
        <w:t>本行各经营单位督促客户加强环境和社会风险管理，要求具有重大环境和社会风险的客户提供环境和社会风险报告，并在贷款支付前予以核查。</w:t>
      </w:r>
    </w:p>
    <w:p>
      <w:pPr>
        <w:numPr>
          <w:ilvl w:val="0"/>
          <w:numId w:val="7"/>
        </w:numPr>
        <w:spacing w:line="360" w:lineRule="auto"/>
        <w:rPr>
          <w:rFonts w:ascii="Times New Roman" w:hAnsi="Times New Roman" w:eastAsia="黑体"/>
          <w:b/>
          <w:bCs/>
          <w:color w:val="2E75B5"/>
          <w:sz w:val="24"/>
          <w:szCs w:val="24"/>
        </w:rPr>
      </w:pPr>
      <w:r>
        <w:rPr>
          <w:rFonts w:hint="eastAsia" w:ascii="Times New Roman" w:hAnsi="Times New Roman" w:eastAsia="黑体"/>
          <w:b/>
          <w:bCs/>
          <w:color w:val="2E75B5"/>
          <w:sz w:val="24"/>
          <w:szCs w:val="24"/>
        </w:rPr>
        <w:t>贷后管理</w:t>
      </w:r>
    </w:p>
    <w:p>
      <w:pPr>
        <w:pStyle w:val="72"/>
        <w:spacing w:line="360" w:lineRule="auto"/>
        <w:ind w:left="0" w:leftChars="0" w:firstLineChars="0"/>
        <w:rPr>
          <w:rFonts w:ascii="Times New Roman" w:hAnsi="Times New Roman" w:eastAsia="宋体" w:cs="宋体"/>
          <w:position w:val="-1"/>
          <w:sz w:val="24"/>
          <w:szCs w:val="24"/>
        </w:rPr>
      </w:pPr>
      <w:r>
        <w:rPr>
          <w:rFonts w:hint="eastAsia" w:ascii="Times New Roman" w:hAnsi="Times New Roman" w:eastAsia="宋体"/>
          <w:position w:val="-1"/>
          <w:sz w:val="24"/>
          <w:szCs w:val="24"/>
        </w:rPr>
        <w:t>本行各经营单位加强贷后管理，建立动态监测制度，建立与环保部门信息沟通机制，了解客户的环境保护情况，分析客户的环保信息。加大对潜在重大环境和社会风险的贷款检查力度，增加检查内容，重点检查客户的环境保护信息，并在检查报告中及时反映。</w:t>
      </w:r>
    </w:p>
    <w:p>
      <w:pPr>
        <w:pStyle w:val="72"/>
        <w:spacing w:line="360" w:lineRule="auto"/>
        <w:ind w:left="0" w:leftChars="0" w:firstLineChars="0"/>
        <w:rPr>
          <w:rFonts w:ascii="Times New Roman" w:hAnsi="Times New Roman" w:eastAsia="宋体" w:cs="宋体"/>
          <w:color w:val="000000"/>
          <w:kern w:val="0"/>
          <w:sz w:val="24"/>
          <w:szCs w:val="24"/>
        </w:rPr>
      </w:pPr>
      <w:r>
        <w:rPr>
          <w:rFonts w:hint="eastAsia" w:ascii="Times New Roman" w:hAnsi="Times New Roman" w:eastAsia="宋体"/>
          <w:spacing w:val="-6"/>
          <w:kern w:val="0"/>
          <w:sz w:val="24"/>
          <w:szCs w:val="24"/>
        </w:rPr>
        <w:t>逐步退出“两高一剩”行业贷款。对存量的“两高一剩”行业贷款制定退出计划，逐步压降规模，腾出信贷资源满足绿色金融需求，</w:t>
      </w:r>
      <w:r>
        <w:rPr>
          <w:rFonts w:hint="eastAsia" w:ascii="Times New Roman" w:hAnsi="Times New Roman" w:eastAsia="宋体"/>
          <w:color w:val="000000"/>
          <w:kern w:val="0"/>
          <w:sz w:val="24"/>
          <w:szCs w:val="24"/>
        </w:rPr>
        <w:t>科学引导信贷资源投向市场前景良好、产业政策积极支持和抗周期风险能力强的领域，进一步调整和优化本行信贷结构。</w:t>
      </w:r>
    </w:p>
    <w:p>
      <w:pPr>
        <w:pStyle w:val="72"/>
        <w:spacing w:line="360" w:lineRule="auto"/>
        <w:ind w:left="0" w:leftChars="0" w:firstLineChars="0"/>
        <w:rPr>
          <w:rFonts w:ascii="Times New Roman" w:hAnsi="Times New Roman" w:eastAsia="宋体" w:cs="宋体"/>
          <w:color w:val="000000"/>
          <w:kern w:val="0"/>
          <w:sz w:val="24"/>
          <w:szCs w:val="24"/>
        </w:rPr>
      </w:pPr>
      <w:r>
        <w:rPr>
          <w:rFonts w:hint="eastAsia" w:ascii="Times New Roman" w:hAnsi="Times New Roman" w:eastAsia="宋体"/>
          <w:color w:val="000000"/>
          <w:kern w:val="0"/>
          <w:sz w:val="24"/>
          <w:szCs w:val="24"/>
        </w:rPr>
        <w:t>实行名单制管理缓释风险。本行将存在重大环境和社会风险的客户纳入“黑”名单管控，各经营单位对名单内客户应要求其采取风险缓释措施，包括制定并落实重大风险应对预案，建立充分、有效的利益相关方沟通机制，寻求第三方分担环境和社会风险等。</w:t>
      </w:r>
    </w:p>
    <w:p>
      <w:pPr>
        <w:pStyle w:val="72"/>
        <w:spacing w:line="360" w:lineRule="auto"/>
        <w:ind w:left="0" w:leftChars="0" w:firstLineChars="0"/>
        <w:rPr>
          <w:rFonts w:ascii="Times New Roman" w:hAnsi="Times New Roman"/>
        </w:rPr>
      </w:pPr>
      <w:r>
        <w:rPr>
          <w:rFonts w:hint="eastAsia" w:ascii="Times New Roman" w:hAnsi="Times New Roman" w:eastAsia="宋体"/>
          <w:color w:val="000000"/>
          <w:kern w:val="0"/>
          <w:sz w:val="24"/>
          <w:szCs w:val="24"/>
        </w:rPr>
        <w:t>建立高风险授信化解制度。根据本行的重点授信行业及其特点，制定涉及“高污染、高环境风险”行业的授信政策和操作细则。同时，本行已制定《高风险授信化解工作实施细则》以规范贷款行业风险管理，防止环境风险以及社会风险。对于项目在土地、环保、项目核准等方面存在合规性问题，本行将按照前瞻风险、动态预警，分级管理、明确责任，加强沟通、注意保密的原则，成立总行资产质量管控小组，督促各经营单位落实执行高风险授信识别、化解和退出管理机制；通过信贷系统、风险预警系统进行监控，主动发现风险预警信号并督促该经营单位启动高风险化解程序。</w:t>
      </w:r>
    </w:p>
    <w:bookmarkEnd w:id="145"/>
    <w:p>
      <w:pPr>
        <w:pStyle w:val="4"/>
        <w:spacing w:line="360" w:lineRule="auto"/>
        <w:rPr>
          <w:color w:val="2E75B6" w:themeColor="accent5" w:themeShade="BF"/>
        </w:rPr>
      </w:pPr>
      <w:bookmarkStart w:id="146" w:name="_Toc19468"/>
      <w:bookmarkStart w:id="147" w:name="_Toc11823"/>
      <w:bookmarkStart w:id="148" w:name="_Toc10253"/>
      <w:bookmarkStart w:id="149" w:name="_Toc32488"/>
      <w:bookmarkStart w:id="150" w:name="_Toc8507"/>
      <w:bookmarkStart w:id="151" w:name="_Toc29465"/>
      <w:r>
        <w:rPr>
          <w:color w:val="2E75B6" w:themeColor="accent5" w:themeShade="BF"/>
        </w:rPr>
        <w:br w:type="page"/>
      </w:r>
    </w:p>
    <w:p>
      <w:pPr>
        <w:pStyle w:val="4"/>
        <w:spacing w:line="360" w:lineRule="auto"/>
        <w:rPr>
          <w:color w:val="2E75B6" w:themeColor="accent5" w:themeShade="BF"/>
        </w:rPr>
      </w:pPr>
      <w:bookmarkStart w:id="152" w:name="_Toc13428"/>
      <w:r>
        <w:rPr>
          <w:rFonts w:hint="eastAsia"/>
          <w:color w:val="2E75B6" w:themeColor="accent5" w:themeShade="BF"/>
        </w:rPr>
        <w:t>第六部分 环境因素影响</w:t>
      </w:r>
      <w:bookmarkEnd w:id="146"/>
      <w:bookmarkEnd w:id="147"/>
      <w:bookmarkEnd w:id="148"/>
      <w:bookmarkEnd w:id="149"/>
      <w:bookmarkEnd w:id="150"/>
      <w:bookmarkEnd w:id="151"/>
      <w:bookmarkEnd w:id="152"/>
      <w:bookmarkStart w:id="153" w:name="_Toc30549"/>
    </w:p>
    <w:p>
      <w:pPr>
        <w:rPr>
          <w:rFonts w:ascii="Times New Roman" w:hAnsi="Times New Roman"/>
          <w:bCs/>
        </w:rPr>
      </w:pPr>
    </w:p>
    <w:p>
      <w:pPr>
        <w:pStyle w:val="5"/>
        <w:keepNext w:val="0"/>
        <w:keepLines w:val="0"/>
        <w:numPr>
          <w:ilvl w:val="0"/>
          <w:numId w:val="8"/>
        </w:numPr>
        <w:spacing w:line="360" w:lineRule="auto"/>
        <w:jc w:val="both"/>
        <w:rPr>
          <w:rFonts w:cstheme="minorBidi"/>
          <w:bCs w:val="0"/>
          <w:color w:val="2E75B6" w:themeColor="accent5" w:themeShade="BF"/>
        </w:rPr>
      </w:pPr>
      <w:bookmarkStart w:id="154" w:name="_Toc11313"/>
      <w:bookmarkStart w:id="155" w:name="_Toc20450"/>
      <w:bookmarkStart w:id="156" w:name="_Toc31373"/>
      <w:bookmarkStart w:id="157" w:name="_Toc13270"/>
      <w:bookmarkStart w:id="158" w:name="_Toc10119"/>
      <w:bookmarkStart w:id="159" w:name="_Toc13715"/>
      <w:r>
        <w:rPr>
          <w:rFonts w:hint="eastAsia" w:cstheme="minorBidi"/>
          <w:bCs w:val="0"/>
          <w:color w:val="2E75B6" w:themeColor="accent5" w:themeShade="BF"/>
        </w:rPr>
        <w:t>环境相关风险</w:t>
      </w:r>
      <w:bookmarkEnd w:id="153"/>
      <w:bookmarkEnd w:id="154"/>
      <w:bookmarkEnd w:id="155"/>
      <w:bookmarkEnd w:id="156"/>
      <w:bookmarkEnd w:id="157"/>
      <w:bookmarkEnd w:id="158"/>
      <w:r>
        <w:rPr>
          <w:rFonts w:hint="eastAsia" w:cstheme="minorBidi"/>
          <w:bCs w:val="0"/>
          <w:color w:val="2E75B6" w:themeColor="accent5" w:themeShade="BF"/>
        </w:rPr>
        <w:t>和机遇</w:t>
      </w:r>
      <w:bookmarkEnd w:id="159"/>
    </w:p>
    <w:p>
      <w:pPr>
        <w:pStyle w:val="6"/>
        <w:spacing w:line="360" w:lineRule="auto"/>
        <w:jc w:val="both"/>
        <w:rPr>
          <w:bCs w:val="0"/>
          <w:color w:val="2E75B6" w:themeColor="accent5" w:themeShade="BF"/>
        </w:rPr>
      </w:pPr>
      <w:r>
        <w:rPr>
          <w:rFonts w:hint="eastAsia"/>
          <w:bCs w:val="0"/>
          <w:color w:val="2E75B6" w:themeColor="accent5" w:themeShade="BF"/>
        </w:rPr>
        <w:t>（一）环境相关风险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根据气候相关财务信息披露工作组（</w:t>
      </w:r>
      <w:r>
        <w:rPr>
          <w:rFonts w:ascii="Times New Roman" w:hAnsi="Times New Roman" w:eastAsia="宋体" w:cs="Times New Roman"/>
          <w:sz w:val="24"/>
          <w:szCs w:val="24"/>
        </w:rPr>
        <w:t>TCFD</w:t>
      </w:r>
      <w:r>
        <w:rPr>
          <w:rFonts w:hint="eastAsia" w:ascii="Times New Roman" w:hAnsi="Times New Roman" w:eastAsia="宋体" w:cs="Times New Roman"/>
          <w:sz w:val="24"/>
          <w:szCs w:val="24"/>
        </w:rPr>
        <w:t>）的相关研究，气候环境相关风险主要包括物理风险和转型风险两大类。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Hans"/>
        </w:rPr>
        <w:t>物理风险包括急性物理风险（例如，</w:t>
      </w:r>
      <w:r>
        <w:rPr>
          <w:rFonts w:hint="eastAsia" w:ascii="Times New Roman" w:hAnsi="Times New Roman" w:eastAsia="宋体" w:cs="Times New Roman"/>
          <w:sz w:val="24"/>
          <w:szCs w:val="24"/>
        </w:rPr>
        <w:t>飓风、洪水、冰雹、干旱、热浪等极端天气事件</w:t>
      </w:r>
      <w:r>
        <w:rPr>
          <w:rFonts w:hint="eastAsia" w:ascii="Times New Roman" w:hAnsi="Times New Roman" w:eastAsia="宋体" w:cs="Times New Roman"/>
          <w:sz w:val="24"/>
          <w:szCs w:val="24"/>
          <w:lang w:eastAsia="zh-Hans"/>
        </w:rPr>
        <w:t>）和慢性物理风险（例如，</w:t>
      </w:r>
      <w:r>
        <w:rPr>
          <w:rFonts w:hint="eastAsia" w:ascii="Times New Roman" w:hAnsi="Times New Roman" w:eastAsia="宋体" w:cs="Times New Roman"/>
          <w:sz w:val="24"/>
          <w:szCs w:val="24"/>
        </w:rPr>
        <w:t>全球平均气温上升、海平面上升、降水模式和天气模式的极端变化等）。转型风险包括政策及法律、技术、市场以及声誉等发生变化所带来的风险。</w:t>
      </w:r>
    </w:p>
    <w:p>
      <w:pPr>
        <w:pStyle w:val="2"/>
        <w:spacing w:line="360" w:lineRule="auto"/>
        <w:ind w:left="0" w:leftChars="0" w:firstLine="480"/>
        <w:rPr>
          <w:rFonts w:hint="default" w:ascii="Times New Roman" w:hAnsi="Times New Roman" w:eastAsia="宋体"/>
          <w:sz w:val="24"/>
          <w:szCs w:val="24"/>
          <w:lang w:eastAsia="zh-Hans"/>
        </w:rPr>
      </w:pPr>
      <w:r>
        <w:rPr>
          <w:rFonts w:ascii="Times New Roman" w:hAnsi="Times New Roman" w:eastAsia="宋体"/>
          <w:sz w:val="24"/>
          <w:szCs w:val="24"/>
        </w:rPr>
        <w:t>针对上述风险，</w:t>
      </w:r>
      <w:r>
        <w:rPr>
          <w:rFonts w:ascii="Times New Roman" w:hAnsi="Times New Roman" w:eastAsia="宋体"/>
          <w:sz w:val="24"/>
          <w:szCs w:val="24"/>
          <w:lang w:eastAsia="zh-Hans"/>
        </w:rPr>
        <w:t>江门农商</w:t>
      </w:r>
      <w:r>
        <w:rPr>
          <w:rFonts w:ascii="Times New Roman" w:hAnsi="Times New Roman" w:eastAsia="宋体"/>
          <w:sz w:val="24"/>
          <w:szCs w:val="24"/>
        </w:rPr>
        <w:t>银行持续进行气候环境风险的识别，</w:t>
      </w:r>
      <w:r>
        <w:rPr>
          <w:rFonts w:ascii="Times New Roman" w:hAnsi="Times New Roman" w:eastAsia="宋体"/>
          <w:sz w:val="24"/>
          <w:szCs w:val="24"/>
          <w:lang w:eastAsia="zh-Hans"/>
        </w:rPr>
        <w:t>并制定相关战略、政策缓解其影响。</w:t>
      </w:r>
    </w:p>
    <w:p>
      <w:pPr>
        <w:pStyle w:val="2"/>
        <w:spacing w:line="360" w:lineRule="auto"/>
        <w:ind w:left="0" w:leftChars="0"/>
        <w:jc w:val="center"/>
        <w:rPr>
          <w:rFonts w:ascii="Times New Roman" w:hAnsi="Times New Roman" w:eastAsia="黑体" w:cs="宋体"/>
        </w:rPr>
      </w:pPr>
    </w:p>
    <w:p>
      <w:pPr>
        <w:pStyle w:val="2"/>
        <w:spacing w:line="360" w:lineRule="auto"/>
        <w:ind w:left="0" w:leftChars="0"/>
        <w:jc w:val="center"/>
        <w:rPr>
          <w:rFonts w:hint="default" w:ascii="Times New Roman" w:hAnsi="Times New Roman" w:eastAsia="宋体"/>
          <w:sz w:val="24"/>
          <w:szCs w:val="24"/>
          <w:lang w:eastAsia="zh-Hans"/>
        </w:rPr>
      </w:pPr>
      <w:r>
        <w:rPr>
          <w:rFonts w:ascii="Times New Roman" w:hAnsi="Times New Roman" w:eastAsia="黑体" w:cs="宋体"/>
        </w:rPr>
        <w:t>表</w:t>
      </w:r>
      <w:r>
        <w:rPr>
          <w:rFonts w:hint="default" w:ascii="Times New Roman" w:hAnsi="Times New Roman" w:eastAsia="黑体" w:cs="宋体"/>
        </w:rPr>
        <w:t>6-1</w:t>
      </w:r>
      <w:r>
        <w:rPr>
          <w:rFonts w:ascii="Times New Roman" w:hAnsi="Times New Roman" w:eastAsia="黑体" w:cs="宋体"/>
        </w:rPr>
        <w:t>：江门农商银行环境相关风险分析</w:t>
      </w:r>
    </w:p>
    <w:tbl>
      <w:tblPr>
        <w:tblStyle w:val="23"/>
        <w:tblpPr w:leftFromText="180" w:rightFromText="180" w:vertAnchor="text" w:horzAnchor="page" w:tblpXSpec="center" w:tblpY="374"/>
        <w:tblOverlap w:val="never"/>
        <w:tblW w:w="8180" w:type="dxa"/>
        <w:jc w:val="center"/>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Layout w:type="fixed"/>
        <w:tblCellMar>
          <w:top w:w="0" w:type="dxa"/>
          <w:left w:w="108" w:type="dxa"/>
          <w:bottom w:w="0" w:type="dxa"/>
          <w:right w:w="108" w:type="dxa"/>
        </w:tblCellMar>
      </w:tblPr>
      <w:tblGrid>
        <w:gridCol w:w="760"/>
        <w:gridCol w:w="1610"/>
        <w:gridCol w:w="2944"/>
        <w:gridCol w:w="779"/>
        <w:gridCol w:w="2087"/>
      </w:tblGrid>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jc w:val="center"/>
        </w:trPr>
        <w:tc>
          <w:tcPr>
            <w:tcW w:w="760" w:type="dxa"/>
            <w:tcBorders>
              <w:right w:val="nil"/>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bookmarkStart w:id="160" w:name="_Toc26420"/>
            <w:bookmarkStart w:id="161" w:name="_Hlk131507081"/>
            <w:r>
              <w:rPr>
                <w:rFonts w:hint="eastAsia" w:ascii="Times New Roman" w:hAnsi="Times New Roman" w:cs="Times New Roman"/>
                <w:b/>
                <w:bCs/>
                <w:color w:val="FFFFFF" w:themeColor="background1"/>
                <w14:textFill>
                  <w14:solidFill>
                    <w14:schemeClr w14:val="bg1"/>
                  </w14:solidFill>
                </w14:textFill>
              </w:rPr>
              <w:t>风险</w:t>
            </w:r>
            <w:bookmarkEnd w:id="160"/>
            <w:r>
              <w:rPr>
                <w:rFonts w:hint="eastAsia" w:ascii="Times New Roman" w:hAnsi="Times New Roman"/>
                <w:b/>
                <w:bCs/>
                <w:color w:val="FFFFFF" w:themeColor="background1"/>
                <w14:textFill>
                  <w14:solidFill>
                    <w14:schemeClr w14:val="bg1"/>
                  </w14:solidFill>
                </w14:textFill>
              </w:rPr>
              <w:t>类型</w:t>
            </w:r>
          </w:p>
        </w:tc>
        <w:tc>
          <w:tcPr>
            <w:tcW w:w="1610" w:type="dxa"/>
            <w:tcBorders>
              <w:left w:val="nil"/>
              <w:right w:val="nil"/>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风险因子</w:t>
            </w:r>
          </w:p>
        </w:tc>
        <w:tc>
          <w:tcPr>
            <w:tcW w:w="2944" w:type="dxa"/>
            <w:tcBorders>
              <w:left w:val="nil"/>
              <w:right w:val="nil"/>
              <w:tl2br w:val="nil"/>
              <w:tr2bl w:val="nil"/>
            </w:tcBorders>
            <w:shd w:val="clear" w:color="auto" w:fill="2E75B5" w:themeFill="accent5" w:themeFillShade="BF"/>
            <w:vAlign w:val="center"/>
          </w:tcPr>
          <w:p>
            <w:pPr>
              <w:pStyle w:val="57"/>
              <w:rPr>
                <w:rFonts w:ascii="Times New Roman" w:hAnsi="Times New Roman"/>
                <w:b/>
                <w:bCs/>
                <w:color w:val="FFFFFF" w:themeColor="background1"/>
                <w:lang w:eastAsia="zh-Hans"/>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潜在影响</w:t>
            </w:r>
          </w:p>
        </w:tc>
        <w:tc>
          <w:tcPr>
            <w:tcW w:w="779" w:type="dxa"/>
            <w:tcBorders>
              <w:left w:val="nil"/>
              <w:right w:val="nil"/>
              <w:tl2br w:val="nil"/>
              <w:tr2bl w:val="nil"/>
            </w:tcBorders>
            <w:shd w:val="clear" w:color="auto" w:fill="2E75B5" w:themeFill="accent5" w:themeFillShade="BF"/>
            <w:vAlign w:val="center"/>
          </w:tcPr>
          <w:p>
            <w:pPr>
              <w:pStyle w:val="57"/>
              <w:rPr>
                <w:rFonts w:ascii="Times New Roman" w:hAnsi="Times New Roman"/>
                <w:b/>
                <w:bCs/>
                <w:color w:val="FFFFFF" w:themeColor="background1"/>
                <w:lang w:eastAsia="zh-Hans"/>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影响时期</w:t>
            </w:r>
          </w:p>
        </w:tc>
        <w:tc>
          <w:tcPr>
            <w:tcW w:w="2087" w:type="dxa"/>
            <w:tcBorders>
              <w:left w:val="nil"/>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r>
              <w:rPr>
                <w:rFonts w:hint="eastAsia" w:ascii="Times New Roman" w:hAnsi="Times New Roman"/>
                <w:b/>
                <w:bCs/>
                <w:color w:val="FFFFFF" w:themeColor="background1"/>
                <w:lang w:eastAsia="zh-Hans"/>
                <w14:textFill>
                  <w14:solidFill>
                    <w14:schemeClr w14:val="bg1"/>
                  </w14:solidFill>
                </w14:textFill>
              </w:rPr>
              <w:t>应对措施</w:t>
            </w:r>
          </w:p>
        </w:tc>
      </w:tr>
      <w:bookmarkEnd w:id="161"/>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1383" w:hRule="atLeast"/>
          <w:jc w:val="center"/>
        </w:trPr>
        <w:tc>
          <w:tcPr>
            <w:tcW w:w="760" w:type="dxa"/>
            <w:vMerge w:val="restart"/>
            <w:tcBorders>
              <w:tl2br w:val="nil"/>
              <w:tr2bl w:val="nil"/>
            </w:tcBorders>
            <w:shd w:val="clear" w:color="auto" w:fill="DEEBF6" w:themeFill="accent5" w:themeFillTint="32"/>
            <w:vAlign w:val="center"/>
          </w:tcPr>
          <w:p>
            <w:pPr>
              <w:pStyle w:val="2"/>
              <w:adjustRightInd w:val="0"/>
              <w:snapToGrid w:val="0"/>
              <w:spacing w:after="0" w:line="360" w:lineRule="auto"/>
              <w:ind w:left="0" w:leftChars="0" w:firstLine="0" w:firstLineChars="0"/>
              <w:rPr>
                <w:rFonts w:hint="default" w:ascii="Times New Roman" w:hAnsi="Times New Roman" w:eastAsia="宋体" w:cs="宋体"/>
                <w:b/>
                <w:bCs/>
                <w:szCs w:val="21"/>
              </w:rPr>
            </w:pPr>
            <w:r>
              <w:rPr>
                <w:rFonts w:ascii="Times New Roman" w:hAnsi="Times New Roman" w:eastAsia="宋体" w:cs="宋体"/>
                <w:b/>
                <w:bCs/>
                <w:szCs w:val="21"/>
              </w:rPr>
              <w:t>物理风险</w:t>
            </w:r>
          </w:p>
        </w:tc>
        <w:tc>
          <w:tcPr>
            <w:tcW w:w="1610" w:type="dxa"/>
            <w:tcBorders>
              <w:tl2br w:val="nil"/>
              <w:tr2bl w:val="nil"/>
            </w:tcBorders>
            <w:vAlign w:val="center"/>
          </w:tcPr>
          <w:p>
            <w:pPr>
              <w:pStyle w:val="2"/>
              <w:adjustRightInd w:val="0"/>
              <w:snapToGrid w:val="0"/>
              <w:spacing w:after="0" w:line="360" w:lineRule="auto"/>
              <w:ind w:left="0" w:leftChars="0" w:firstLine="0" w:firstLineChars="0"/>
              <w:jc w:val="both"/>
              <w:rPr>
                <w:rFonts w:hint="default" w:ascii="Times New Roman" w:hAnsi="Times New Roman" w:eastAsia="宋体" w:cs="宋体"/>
                <w:szCs w:val="21"/>
              </w:rPr>
            </w:pPr>
            <w:r>
              <w:rPr>
                <w:rFonts w:ascii="Times New Roman" w:hAnsi="Times New Roman" w:eastAsia="宋体" w:cs="宋体"/>
                <w:b/>
                <w:bCs/>
                <w:szCs w:val="21"/>
              </w:rPr>
              <w:t>急性</w:t>
            </w:r>
            <w:r>
              <w:rPr>
                <w:rFonts w:ascii="Times New Roman" w:hAnsi="Times New Roman" w:eastAsia="宋体" w:cs="宋体"/>
                <w:szCs w:val="21"/>
              </w:rPr>
              <w:t>：极端天气事件（如台风、暴雨、干旱等）</w:t>
            </w:r>
          </w:p>
        </w:tc>
        <w:tc>
          <w:tcPr>
            <w:tcW w:w="2944" w:type="dxa"/>
            <w:vMerge w:val="restart"/>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本行主要运营地区在广东省江门市区和恩平市，多发台风、暴雨及干旱。极端天气事件可能会对网点经营和后台服务造成破坏，造成业务中断。近年来高温天气增多，且呈现了强化趋势，高温热浪等慢性的气候变化可能会影响员工的办公舒适度或健康情况，影响对气温敏感设备的运营安全。</w:t>
            </w:r>
          </w:p>
        </w:tc>
        <w:tc>
          <w:tcPr>
            <w:tcW w:w="779" w:type="dxa"/>
            <w:tcBorders>
              <w:tl2br w:val="nil"/>
              <w:tr2bl w:val="nil"/>
            </w:tcBorders>
            <w:vAlign w:val="center"/>
          </w:tcPr>
          <w:p>
            <w:pPr>
              <w:numPr>
                <w:ilvl w:val="255"/>
                <w:numId w:val="0"/>
              </w:numPr>
              <w:spacing w:line="360" w:lineRule="auto"/>
              <w:jc w:val="center"/>
              <w:rPr>
                <w:rFonts w:ascii="Times New Roman" w:hAnsi="Times New Roman" w:eastAsia="宋体"/>
                <w:b/>
                <w:bCs/>
                <w:szCs w:val="21"/>
                <w:lang w:eastAsia="zh-Hans"/>
              </w:rPr>
            </w:pPr>
            <w:r>
              <w:rPr>
                <w:rFonts w:hint="eastAsia" w:ascii="Times New Roman" w:hAnsi="Times New Roman" w:eastAsia="宋体" w:cs="宋体"/>
                <w:szCs w:val="21"/>
              </w:rPr>
              <w:t>短期</w:t>
            </w:r>
          </w:p>
        </w:tc>
        <w:tc>
          <w:tcPr>
            <w:tcW w:w="2087" w:type="dxa"/>
            <w:vMerge w:val="restart"/>
            <w:tcBorders>
              <w:tl2br w:val="nil"/>
              <w:tr2bl w:val="nil"/>
            </w:tcBorders>
            <w:vAlign w:val="center"/>
          </w:tcPr>
          <w:p>
            <w:pPr>
              <w:pStyle w:val="2"/>
              <w:spacing w:after="0" w:line="360" w:lineRule="auto"/>
              <w:ind w:left="0" w:leftChars="0" w:firstLine="0" w:firstLineChars="0"/>
              <w:rPr>
                <w:rFonts w:hint="default" w:ascii="Times New Roman" w:hAnsi="Times New Roman" w:eastAsia="宋体" w:cs="宋体"/>
                <w:szCs w:val="21"/>
              </w:rPr>
            </w:pPr>
            <w:r>
              <w:rPr>
                <w:rFonts w:hint="default" w:ascii="Times New Roman" w:hAnsi="Times New Roman" w:eastAsia="宋体" w:cs="宋体"/>
                <w:szCs w:val="21"/>
              </w:rPr>
              <w:t>1.</w:t>
            </w:r>
            <w:r>
              <w:rPr>
                <w:rFonts w:ascii="Times New Roman" w:hAnsi="Times New Roman" w:eastAsia="宋体" w:cs="宋体"/>
                <w:szCs w:val="21"/>
              </w:rPr>
              <w:t>关注地区天气预警信息，做好运营场所安全检查和防护。</w:t>
            </w:r>
          </w:p>
          <w:p>
            <w:pPr>
              <w:pStyle w:val="2"/>
              <w:spacing w:after="0" w:line="360" w:lineRule="auto"/>
              <w:ind w:left="0" w:leftChars="0" w:firstLine="0" w:firstLineChars="0"/>
              <w:rPr>
                <w:rFonts w:hint="default" w:ascii="Times New Roman" w:hAnsi="Times New Roman" w:eastAsia="宋体" w:cs="宋体"/>
                <w:szCs w:val="21"/>
              </w:rPr>
            </w:pPr>
            <w:r>
              <w:rPr>
                <w:rFonts w:hint="default" w:ascii="Times New Roman" w:hAnsi="Times New Roman" w:eastAsia="宋体" w:cs="宋体"/>
                <w:szCs w:val="21"/>
              </w:rPr>
              <w:t>2.</w:t>
            </w:r>
            <w:r>
              <w:rPr>
                <w:rFonts w:ascii="Times New Roman" w:hAnsi="Times New Roman" w:eastAsia="宋体" w:cs="宋体"/>
                <w:szCs w:val="21"/>
              </w:rPr>
              <w:t>配置应急发电设备，提升机房容灾能力，强化机构应对气候灾害的意识，做好应急预案缓冲。</w:t>
            </w: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1354" w:hRule="atLeast"/>
          <w:jc w:val="center"/>
        </w:trPr>
        <w:tc>
          <w:tcPr>
            <w:tcW w:w="760" w:type="dxa"/>
            <w:vMerge w:val="continue"/>
            <w:tcBorders>
              <w:tl2br w:val="nil"/>
              <w:tr2bl w:val="nil"/>
            </w:tcBorders>
            <w:shd w:val="clear" w:color="auto" w:fill="E2F0D9"/>
            <w:vAlign w:val="center"/>
          </w:tcPr>
          <w:p>
            <w:pPr>
              <w:pStyle w:val="2"/>
              <w:adjustRightInd w:val="0"/>
              <w:snapToGrid w:val="0"/>
              <w:spacing w:after="0" w:line="360" w:lineRule="auto"/>
              <w:ind w:left="0" w:leftChars="0" w:firstLine="0" w:firstLineChars="0"/>
              <w:rPr>
                <w:rFonts w:hint="default" w:ascii="Times New Roman" w:hAnsi="Times New Roman" w:eastAsia="宋体" w:cs="宋体"/>
                <w:b/>
                <w:bCs/>
                <w:szCs w:val="21"/>
              </w:rPr>
            </w:pPr>
          </w:p>
        </w:tc>
        <w:tc>
          <w:tcPr>
            <w:tcW w:w="1610"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慢性</w:t>
            </w:r>
            <w:r>
              <w:rPr>
                <w:rFonts w:ascii="Times New Roman" w:hAnsi="Times New Roman" w:eastAsia="宋体" w:cs="宋体"/>
                <w:szCs w:val="21"/>
              </w:rPr>
              <w:t>：气候模式的长期变化（如高温热浪等）</w:t>
            </w:r>
          </w:p>
        </w:tc>
        <w:tc>
          <w:tcPr>
            <w:tcW w:w="2944" w:type="dxa"/>
            <w:vMerge w:val="continue"/>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c>
          <w:tcPr>
            <w:tcW w:w="779" w:type="dxa"/>
            <w:tcBorders>
              <w:tl2br w:val="nil"/>
              <w:tr2bl w:val="nil"/>
            </w:tcBorders>
            <w:vAlign w:val="center"/>
          </w:tcPr>
          <w:p>
            <w:pPr>
              <w:pStyle w:val="2"/>
              <w:adjustRightInd w:val="0"/>
              <w:snapToGrid w:val="0"/>
              <w:spacing w:after="0" w:line="360" w:lineRule="auto"/>
              <w:ind w:left="0" w:leftChars="0" w:firstLine="0" w:firstLineChars="0"/>
              <w:jc w:val="center"/>
              <w:rPr>
                <w:rFonts w:hint="default" w:ascii="Times New Roman" w:hAnsi="Times New Roman" w:eastAsia="宋体" w:cs="宋体"/>
                <w:szCs w:val="21"/>
              </w:rPr>
            </w:pPr>
            <w:r>
              <w:rPr>
                <w:rFonts w:ascii="Times New Roman" w:hAnsi="Times New Roman" w:eastAsia="宋体" w:cs="宋体"/>
                <w:szCs w:val="21"/>
              </w:rPr>
              <w:t>长期</w:t>
            </w:r>
          </w:p>
        </w:tc>
        <w:tc>
          <w:tcPr>
            <w:tcW w:w="2087" w:type="dxa"/>
            <w:vMerge w:val="continue"/>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909" w:hRule="atLeast"/>
          <w:jc w:val="center"/>
        </w:trPr>
        <w:tc>
          <w:tcPr>
            <w:tcW w:w="760" w:type="dxa"/>
            <w:vMerge w:val="restart"/>
            <w:tcBorders>
              <w:tl2br w:val="nil"/>
              <w:tr2bl w:val="nil"/>
            </w:tcBorders>
            <w:shd w:val="clear" w:color="auto" w:fill="DEEBF6" w:themeFill="accent5" w:themeFillTint="32"/>
            <w:vAlign w:val="center"/>
          </w:tcPr>
          <w:p>
            <w:pPr>
              <w:pStyle w:val="2"/>
              <w:adjustRightInd w:val="0"/>
              <w:snapToGrid w:val="0"/>
              <w:spacing w:after="0" w:line="360" w:lineRule="auto"/>
              <w:ind w:left="0" w:leftChars="0" w:firstLine="0" w:firstLineChars="0"/>
              <w:rPr>
                <w:rFonts w:hint="default" w:ascii="Times New Roman" w:hAnsi="Times New Roman" w:eastAsia="宋体" w:cs="宋体"/>
                <w:b/>
                <w:bCs/>
                <w:szCs w:val="21"/>
              </w:rPr>
            </w:pPr>
            <w:r>
              <w:rPr>
                <w:rFonts w:ascii="Times New Roman" w:hAnsi="Times New Roman" w:eastAsia="宋体" w:cs="宋体"/>
                <w:b/>
                <w:bCs/>
                <w:szCs w:val="21"/>
              </w:rPr>
              <w:t>转型风险</w:t>
            </w:r>
          </w:p>
        </w:tc>
        <w:tc>
          <w:tcPr>
            <w:tcW w:w="1610"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政策和法律</w:t>
            </w:r>
          </w:p>
        </w:tc>
        <w:tc>
          <w:tcPr>
            <w:tcW w:w="2944"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低碳环保政策和制度的频繁出台，影响高碳企业的发展，进而影响信贷资产的质量。</w:t>
            </w:r>
          </w:p>
        </w:tc>
        <w:tc>
          <w:tcPr>
            <w:tcW w:w="779" w:type="dxa"/>
            <w:tcBorders>
              <w:tl2br w:val="nil"/>
              <w:tr2bl w:val="nil"/>
            </w:tcBorders>
            <w:vAlign w:val="center"/>
          </w:tcPr>
          <w:p>
            <w:pPr>
              <w:pStyle w:val="2"/>
              <w:adjustRightInd w:val="0"/>
              <w:snapToGrid w:val="0"/>
              <w:spacing w:after="0" w:line="360" w:lineRule="auto"/>
              <w:ind w:left="0" w:leftChars="0" w:firstLine="0" w:firstLineChars="0"/>
              <w:jc w:val="center"/>
              <w:rPr>
                <w:rFonts w:hint="default" w:ascii="Times New Roman" w:hAnsi="Times New Roman" w:eastAsia="宋体" w:cs="宋体"/>
                <w:szCs w:val="21"/>
                <w:highlight w:val="none"/>
              </w:rPr>
            </w:pPr>
            <w:r>
              <w:rPr>
                <w:rFonts w:ascii="Times New Roman" w:hAnsi="Times New Roman" w:eastAsia="宋体" w:cs="宋体"/>
                <w:szCs w:val="21"/>
                <w:highlight w:val="none"/>
              </w:rPr>
              <w:t>中长期</w:t>
            </w:r>
          </w:p>
        </w:tc>
        <w:tc>
          <w:tcPr>
            <w:tcW w:w="2087" w:type="dxa"/>
            <w:vMerge w:val="restart"/>
            <w:tcBorders>
              <w:tl2br w:val="nil"/>
              <w:tr2bl w:val="nil"/>
            </w:tcBorders>
            <w:vAlign w:val="center"/>
          </w:tcPr>
          <w:p>
            <w:pPr>
              <w:numPr>
                <w:ilvl w:val="255"/>
                <w:numId w:val="0"/>
              </w:numPr>
              <w:spacing w:line="360" w:lineRule="auto"/>
              <w:rPr>
                <w:rFonts w:ascii="Times New Roman" w:hAnsi="Times New Roman" w:eastAsia="宋体"/>
                <w:szCs w:val="21"/>
                <w:highlight w:val="none"/>
              </w:rPr>
            </w:pPr>
            <w:r>
              <w:rPr>
                <w:rFonts w:ascii="Times New Roman" w:hAnsi="Times New Roman" w:eastAsia="宋体"/>
                <w:szCs w:val="21"/>
                <w:highlight w:val="none"/>
                <w:lang w:eastAsia="zh-Hans"/>
              </w:rPr>
              <w:t>1.</w:t>
            </w:r>
            <w:r>
              <w:rPr>
                <w:rFonts w:hint="eastAsia" w:ascii="Times New Roman" w:hAnsi="Times New Roman" w:eastAsia="宋体"/>
                <w:szCs w:val="21"/>
                <w:highlight w:val="none"/>
                <w:lang w:eastAsia="zh-Hans"/>
              </w:rPr>
              <w:t>制定绿色金融</w:t>
            </w:r>
            <w:r>
              <w:rPr>
                <w:rFonts w:hint="eastAsia" w:ascii="Times New Roman" w:hAnsi="Times New Roman" w:eastAsia="宋体"/>
                <w:szCs w:val="21"/>
                <w:highlight w:val="none"/>
              </w:rPr>
              <w:t>发展战略规划，从顶层推动信贷资源配置至节能环保、清洁能源等绿色产业，促进绿色消费，支持实体经济和生活方式的绿色转型；</w:t>
            </w:r>
          </w:p>
          <w:p>
            <w:pPr>
              <w:spacing w:line="360" w:lineRule="auto"/>
              <w:rPr>
                <w:rFonts w:ascii="Times New Roman" w:hAnsi="Times New Roman" w:eastAsia="宋体"/>
                <w:szCs w:val="21"/>
                <w:highlight w:val="none"/>
              </w:rPr>
            </w:pPr>
            <w:r>
              <w:rPr>
                <w:rFonts w:ascii="Times New Roman" w:hAnsi="Times New Roman" w:eastAsia="宋体"/>
                <w:szCs w:val="21"/>
                <w:highlight w:val="none"/>
              </w:rPr>
              <w:t>2</w:t>
            </w:r>
            <w:r>
              <w:rPr>
                <w:rFonts w:ascii="Times New Roman" w:hAnsi="Times New Roman" w:eastAsia="宋体"/>
                <w:szCs w:val="21"/>
                <w:highlight w:val="none"/>
                <w:lang w:eastAsia="zh-Hans"/>
              </w:rPr>
              <w:t>.</w:t>
            </w:r>
            <w:r>
              <w:rPr>
                <w:rFonts w:hint="eastAsia" w:ascii="Times New Roman" w:hAnsi="Times New Roman" w:eastAsia="宋体"/>
                <w:szCs w:val="21"/>
                <w:highlight w:val="none"/>
              </w:rPr>
              <w:t>积极发展转型金融。为电力、钢铁、化工、造纸、有色、建材等传统碳密集企业的低碳转型提供信贷支持，同时严控对碳密集企业高碳项目的信贷审批；</w:t>
            </w:r>
          </w:p>
          <w:p>
            <w:pPr>
              <w:spacing w:line="360" w:lineRule="auto"/>
              <w:rPr>
                <w:rFonts w:ascii="Times New Roman" w:hAnsi="Times New Roman" w:eastAsia="宋体"/>
                <w:szCs w:val="21"/>
                <w:highlight w:val="none"/>
              </w:rPr>
            </w:pPr>
            <w:r>
              <w:rPr>
                <w:rFonts w:hint="eastAsia" w:ascii="Times New Roman" w:hAnsi="Times New Roman" w:eastAsia="宋体"/>
                <w:szCs w:val="21"/>
                <w:highlight w:val="none"/>
                <w:lang w:val="en-US" w:eastAsia="zh-CN"/>
              </w:rPr>
              <w:t>3</w:t>
            </w:r>
            <w:r>
              <w:rPr>
                <w:rFonts w:ascii="Times New Roman" w:hAnsi="Times New Roman" w:eastAsia="宋体"/>
                <w:szCs w:val="21"/>
                <w:highlight w:val="none"/>
                <w:lang w:eastAsia="zh-Hans"/>
              </w:rPr>
              <w:t>.</w:t>
            </w:r>
            <w:r>
              <w:rPr>
                <w:rFonts w:hint="eastAsia" w:ascii="Times New Roman" w:hAnsi="Times New Roman" w:eastAsia="宋体"/>
                <w:szCs w:val="21"/>
                <w:highlight w:val="none"/>
              </w:rPr>
              <w:t>探索发展气候投融资。通过金融的资源配置功能，增强减缓气候变化和适应气候变化的能力；</w:t>
            </w:r>
          </w:p>
          <w:p>
            <w:pPr>
              <w:pStyle w:val="2"/>
              <w:spacing w:line="360" w:lineRule="auto"/>
              <w:ind w:left="0" w:leftChars="0" w:firstLine="0" w:firstLineChars="0"/>
              <w:rPr>
                <w:rFonts w:hint="default" w:ascii="Times New Roman" w:hAnsi="Times New Roman" w:eastAsia="宋体" w:cs="宋体"/>
                <w:szCs w:val="21"/>
                <w:highlight w:val="none"/>
              </w:rPr>
            </w:pPr>
            <w:r>
              <w:rPr>
                <w:rFonts w:hint="eastAsia" w:ascii="Times New Roman" w:hAnsi="Times New Roman" w:eastAsia="宋体" w:cstheme="minorBidi"/>
                <w:szCs w:val="21"/>
                <w:highlight w:val="none"/>
                <w:lang w:val="en-US" w:eastAsia="zh-CN"/>
              </w:rPr>
              <w:t>4</w:t>
            </w:r>
            <w:r>
              <w:rPr>
                <w:rFonts w:hint="default" w:ascii="Times New Roman" w:hAnsi="Times New Roman" w:eastAsia="宋体" w:cstheme="minorBidi"/>
                <w:szCs w:val="21"/>
                <w:highlight w:val="none"/>
              </w:rPr>
              <w:t>.</w:t>
            </w:r>
            <w:r>
              <w:rPr>
                <w:rFonts w:ascii="Times New Roman" w:hAnsi="Times New Roman" w:eastAsia="宋体" w:cstheme="minorBidi"/>
                <w:szCs w:val="21"/>
                <w:highlight w:val="none"/>
              </w:rPr>
              <w:t>提高环境风险管理的水平，加强对特定行业特性环境风险的差异化管理。</w:t>
            </w: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185" w:hRule="atLeast"/>
          <w:jc w:val="center"/>
        </w:trPr>
        <w:tc>
          <w:tcPr>
            <w:tcW w:w="760" w:type="dxa"/>
            <w:vMerge w:val="continue"/>
            <w:tcBorders>
              <w:tl2br w:val="nil"/>
              <w:tr2bl w:val="nil"/>
            </w:tcBorders>
            <w:shd w:val="clear" w:color="auto" w:fill="DEEBF6" w:themeFill="accent5" w:themeFillTint="32"/>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c>
          <w:tcPr>
            <w:tcW w:w="1610"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技术</w:t>
            </w:r>
          </w:p>
        </w:tc>
        <w:tc>
          <w:tcPr>
            <w:tcW w:w="2944"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传统产业的客户受制于能源转型的影响，融资成本增加，盈利能力下降，进而影响还款能力，违约概率增加。</w:t>
            </w:r>
          </w:p>
        </w:tc>
        <w:tc>
          <w:tcPr>
            <w:tcW w:w="779" w:type="dxa"/>
            <w:tcBorders>
              <w:tl2br w:val="nil"/>
              <w:tr2bl w:val="nil"/>
            </w:tcBorders>
            <w:vAlign w:val="center"/>
          </w:tcPr>
          <w:p>
            <w:pPr>
              <w:pStyle w:val="2"/>
              <w:adjustRightInd w:val="0"/>
              <w:snapToGrid w:val="0"/>
              <w:spacing w:after="0" w:line="360" w:lineRule="auto"/>
              <w:ind w:left="0" w:leftChars="0" w:firstLine="0" w:firstLineChars="0"/>
              <w:jc w:val="center"/>
              <w:rPr>
                <w:rFonts w:hint="default" w:ascii="Times New Roman" w:hAnsi="Times New Roman" w:eastAsia="宋体" w:cs="宋体"/>
                <w:szCs w:val="21"/>
              </w:rPr>
            </w:pPr>
            <w:r>
              <w:rPr>
                <w:rFonts w:ascii="Times New Roman" w:hAnsi="Times New Roman" w:eastAsia="宋体" w:cs="宋体"/>
                <w:szCs w:val="21"/>
              </w:rPr>
              <w:t>中长期</w:t>
            </w:r>
          </w:p>
        </w:tc>
        <w:tc>
          <w:tcPr>
            <w:tcW w:w="2087" w:type="dxa"/>
            <w:vMerge w:val="continue"/>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185" w:hRule="atLeast"/>
          <w:jc w:val="center"/>
        </w:trPr>
        <w:tc>
          <w:tcPr>
            <w:tcW w:w="760" w:type="dxa"/>
            <w:vMerge w:val="continue"/>
            <w:tcBorders>
              <w:tl2br w:val="nil"/>
              <w:tr2bl w:val="nil"/>
            </w:tcBorders>
            <w:shd w:val="clear" w:color="auto" w:fill="DEEBF6" w:themeFill="accent5" w:themeFillTint="32"/>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c>
          <w:tcPr>
            <w:tcW w:w="1610"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市场</w:t>
            </w:r>
          </w:p>
        </w:tc>
        <w:tc>
          <w:tcPr>
            <w:tcW w:w="2944"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随着市场对于绿色、环保、低碳、气候变化等概念的认识不断加强，客户偏好与投资行为发生变化，更倾向于具有环保属性的服务及产品。若未有相应的绿色产品，可能导致客户的流失。</w:t>
            </w:r>
          </w:p>
        </w:tc>
        <w:tc>
          <w:tcPr>
            <w:tcW w:w="779" w:type="dxa"/>
            <w:tcBorders>
              <w:tl2br w:val="nil"/>
              <w:tr2bl w:val="nil"/>
            </w:tcBorders>
            <w:vAlign w:val="center"/>
          </w:tcPr>
          <w:p>
            <w:pPr>
              <w:pStyle w:val="2"/>
              <w:adjustRightInd w:val="0"/>
              <w:snapToGrid w:val="0"/>
              <w:spacing w:after="0" w:line="360" w:lineRule="auto"/>
              <w:ind w:left="0" w:leftChars="0" w:firstLine="0" w:firstLineChars="0"/>
              <w:jc w:val="center"/>
              <w:rPr>
                <w:rFonts w:hint="default" w:ascii="Times New Roman" w:hAnsi="Times New Roman" w:eastAsia="宋体" w:cs="宋体"/>
                <w:szCs w:val="21"/>
              </w:rPr>
            </w:pPr>
            <w:r>
              <w:rPr>
                <w:rFonts w:ascii="Times New Roman" w:hAnsi="Times New Roman" w:eastAsia="宋体" w:cs="宋体"/>
                <w:szCs w:val="21"/>
              </w:rPr>
              <w:t>中期</w:t>
            </w:r>
          </w:p>
        </w:tc>
        <w:tc>
          <w:tcPr>
            <w:tcW w:w="2087" w:type="dxa"/>
            <w:vMerge w:val="continue"/>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185" w:hRule="atLeast"/>
          <w:jc w:val="center"/>
        </w:trPr>
        <w:tc>
          <w:tcPr>
            <w:tcW w:w="760" w:type="dxa"/>
            <w:vMerge w:val="continue"/>
            <w:tcBorders>
              <w:tl2br w:val="nil"/>
              <w:tr2bl w:val="nil"/>
            </w:tcBorders>
            <w:shd w:val="clear" w:color="auto" w:fill="DEEBF6" w:themeFill="accent5" w:themeFillTint="32"/>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c>
          <w:tcPr>
            <w:tcW w:w="1610"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声誉</w:t>
            </w:r>
          </w:p>
        </w:tc>
        <w:tc>
          <w:tcPr>
            <w:tcW w:w="2944" w:type="dxa"/>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投资者更加关注银行对于环境风险管理的能力，高碳企业面临更大的环境涉诉风险，银行对于高碳企业的授信可能连带影响银行的声誉形象。</w:t>
            </w:r>
          </w:p>
        </w:tc>
        <w:tc>
          <w:tcPr>
            <w:tcW w:w="779" w:type="dxa"/>
            <w:tcBorders>
              <w:tl2br w:val="nil"/>
              <w:tr2bl w:val="nil"/>
            </w:tcBorders>
            <w:vAlign w:val="center"/>
          </w:tcPr>
          <w:p>
            <w:pPr>
              <w:pStyle w:val="2"/>
              <w:adjustRightInd w:val="0"/>
              <w:snapToGrid w:val="0"/>
              <w:spacing w:after="0" w:line="360" w:lineRule="auto"/>
              <w:ind w:left="0" w:leftChars="0" w:firstLine="0" w:firstLineChars="0"/>
              <w:jc w:val="center"/>
              <w:rPr>
                <w:rFonts w:hint="default" w:ascii="Times New Roman" w:hAnsi="Times New Roman" w:eastAsia="宋体" w:cs="宋体"/>
                <w:szCs w:val="21"/>
              </w:rPr>
            </w:pPr>
            <w:r>
              <w:rPr>
                <w:rFonts w:ascii="Times New Roman" w:hAnsi="Times New Roman" w:eastAsia="宋体" w:cs="宋体"/>
                <w:szCs w:val="21"/>
              </w:rPr>
              <w:t>中期</w:t>
            </w:r>
          </w:p>
        </w:tc>
        <w:tc>
          <w:tcPr>
            <w:tcW w:w="2087" w:type="dxa"/>
            <w:vMerge w:val="continue"/>
            <w:tcBorders>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p>
        </w:tc>
      </w:tr>
    </w:tbl>
    <w:p>
      <w:pPr>
        <w:pStyle w:val="6"/>
        <w:spacing w:line="360" w:lineRule="auto"/>
        <w:jc w:val="both"/>
        <w:rPr>
          <w:bCs w:val="0"/>
          <w:color w:val="2E75B6" w:themeColor="accent5" w:themeShade="BF"/>
        </w:rPr>
      </w:pPr>
      <w:bookmarkStart w:id="162" w:name="_Toc113969331"/>
      <w:bookmarkStart w:id="163" w:name="_Toc6959"/>
      <w:bookmarkStart w:id="164" w:name="_Toc23816"/>
      <w:r>
        <w:rPr>
          <w:rFonts w:hint="eastAsia"/>
          <w:bCs w:val="0"/>
          <w:color w:val="2E75B6" w:themeColor="accent5" w:themeShade="BF"/>
        </w:rPr>
        <w:t>（二）环境相关机遇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本行高度关注环境气候因素带来的发展机遇，积极发展绿色、低碳投融资业务，挖掘新的业务增长点，加强自身绿色运营管理，减缓和适应气候环境风险，在经济低碳绿色转型过程中提升本行产品和服务竞争力。</w:t>
      </w:r>
    </w:p>
    <w:p>
      <w:pPr>
        <w:pStyle w:val="2"/>
        <w:spacing w:line="360" w:lineRule="auto"/>
        <w:ind w:left="0" w:leftChars="0" w:firstLine="0" w:firstLineChars="0"/>
        <w:jc w:val="center"/>
        <w:rPr>
          <w:rFonts w:hint="default" w:ascii="Times New Roman" w:hAnsi="Times New Roman" w:eastAsia="黑体" w:cs="宋体"/>
        </w:rPr>
      </w:pPr>
      <w:r>
        <w:rPr>
          <w:rFonts w:ascii="Times New Roman" w:hAnsi="Times New Roman" w:eastAsia="黑体" w:cs="宋体"/>
        </w:rPr>
        <w:t>表</w:t>
      </w:r>
      <w:r>
        <w:rPr>
          <w:rFonts w:hint="default" w:ascii="Times New Roman" w:hAnsi="Times New Roman" w:eastAsia="黑体" w:cs="宋体"/>
        </w:rPr>
        <w:t>6-2</w:t>
      </w:r>
      <w:r>
        <w:rPr>
          <w:rFonts w:ascii="Times New Roman" w:hAnsi="Times New Roman" w:eastAsia="黑体" w:cs="宋体"/>
        </w:rPr>
        <w:t>：江门农商银行环境相关机遇分析</w:t>
      </w:r>
    </w:p>
    <w:tbl>
      <w:tblPr>
        <w:tblStyle w:val="23"/>
        <w:tblW w:w="5000" w:type="pct"/>
        <w:tblInd w:w="0" w:type="dxa"/>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Layout w:type="autofit"/>
        <w:tblCellMar>
          <w:top w:w="0" w:type="dxa"/>
          <w:left w:w="108" w:type="dxa"/>
          <w:bottom w:w="0" w:type="dxa"/>
          <w:right w:w="108" w:type="dxa"/>
        </w:tblCellMar>
      </w:tblPr>
      <w:tblGrid>
        <w:gridCol w:w="1457"/>
        <w:gridCol w:w="3471"/>
        <w:gridCol w:w="1069"/>
        <w:gridCol w:w="2525"/>
      </w:tblGrid>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457" w:hRule="atLeast"/>
        </w:trPr>
        <w:tc>
          <w:tcPr>
            <w:tcW w:w="1457"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机遇</w:t>
            </w:r>
            <w:r>
              <w:rPr>
                <w:rFonts w:hint="eastAsia" w:ascii="Times New Roman" w:hAnsi="Times New Roman"/>
                <w:b/>
                <w:bCs/>
                <w:color w:val="FFFFFF" w:themeColor="background1"/>
                <w:lang w:eastAsia="zh-Hans"/>
                <w14:textFill>
                  <w14:solidFill>
                    <w14:schemeClr w14:val="bg1"/>
                  </w14:solidFill>
                </w14:textFill>
              </w:rPr>
              <w:t>类型</w:t>
            </w:r>
          </w:p>
        </w:tc>
        <w:tc>
          <w:tcPr>
            <w:tcW w:w="3471"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机遇描述</w:t>
            </w:r>
          </w:p>
        </w:tc>
        <w:tc>
          <w:tcPr>
            <w:tcW w:w="1069"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影响时期</w:t>
            </w:r>
          </w:p>
        </w:tc>
        <w:tc>
          <w:tcPr>
            <w:tcW w:w="2525" w:type="dxa"/>
            <w:tcBorders>
              <w:top w:val="single" w:color="2E75B6" w:sz="8" w:space="0"/>
              <w:left w:val="single" w:color="2E75B6" w:sz="8" w:space="0"/>
              <w:bottom w:val="single" w:color="2E75B6" w:sz="8" w:space="0"/>
              <w:right w:val="single" w:color="2E75B6" w:sz="8" w:space="0"/>
              <w:tl2br w:val="nil"/>
              <w:tr2bl w:val="nil"/>
            </w:tcBorders>
            <w:shd w:val="clear" w:color="auto" w:fill="2E75B5" w:themeFill="accent5" w:themeFillShade="BF"/>
            <w:vAlign w:val="center"/>
          </w:tcPr>
          <w:p>
            <w:pPr>
              <w:pStyle w:val="57"/>
              <w:rPr>
                <w:rFonts w:ascii="Times New Roman" w:hAnsi="Times New Roman"/>
                <w:b/>
                <w:bCs/>
                <w:color w:val="FFFFFF" w:themeColor="background1"/>
                <w14:textFill>
                  <w14:solidFill>
                    <w14:schemeClr w14:val="bg1"/>
                  </w14:solidFill>
                </w14:textFill>
              </w:rPr>
            </w:pPr>
            <w:r>
              <w:rPr>
                <w:rFonts w:hint="eastAsia" w:ascii="Times New Roman" w:hAnsi="Times New Roman"/>
                <w:b/>
                <w:bCs/>
                <w:color w:val="FFFFFF" w:themeColor="background1"/>
                <w14:textFill>
                  <w14:solidFill>
                    <w14:schemeClr w14:val="bg1"/>
                  </w14:solidFill>
                </w14:textFill>
              </w:rPr>
              <w:t>应对措施</w:t>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898" w:hRule="atLeast"/>
        </w:trPr>
        <w:tc>
          <w:tcPr>
            <w:tcW w:w="1457"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资源效率与能源来源</w:t>
            </w:r>
          </w:p>
        </w:tc>
        <w:tc>
          <w:tcPr>
            <w:tcW w:w="3471"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通过办公环节的节能减排，降低温室气体排放，节约运营成本。</w:t>
            </w:r>
          </w:p>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银行作为绿色融资的重要参与者，在“净零碳目标中积极部署并引领潮流，社会责任意识。</w:t>
            </w:r>
          </w:p>
        </w:tc>
        <w:tc>
          <w:tcPr>
            <w:tcW w:w="1069"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adjustRightInd w:val="0"/>
              <w:snapToGrid w:val="0"/>
              <w:spacing w:after="0" w:line="360" w:lineRule="auto"/>
              <w:ind w:left="0" w:leftChars="0" w:firstLine="0" w:firstLineChars="0"/>
              <w:jc w:val="center"/>
              <w:rPr>
                <w:rFonts w:hint="default" w:ascii="Times New Roman" w:hAnsi="Times New Roman" w:eastAsia="宋体" w:cs="宋体"/>
                <w:szCs w:val="21"/>
                <w:lang w:eastAsia="zh-Hans"/>
              </w:rPr>
            </w:pPr>
            <w:r>
              <w:rPr>
                <w:rFonts w:ascii="Times New Roman" w:hAnsi="Times New Roman" w:eastAsia="宋体" w:cs="宋体"/>
                <w:szCs w:val="21"/>
                <w:lang w:eastAsia="zh-Hans"/>
              </w:rPr>
              <w:t>中长期</w:t>
            </w:r>
          </w:p>
        </w:tc>
        <w:tc>
          <w:tcPr>
            <w:tcW w:w="2525"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本行测算自身经营与投融资资产的碳排放量，探索建立碳中和网点星级方案，体现银行的社会责任意识，大力提升品牌形象和声誉。</w:t>
            </w:r>
          </w:p>
        </w:tc>
      </w:tr>
      <w:tr>
        <w:tblPrEx>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insideV w:val="single" w:color="538135" w:themeColor="accent6" w:themeShade="BF" w:sz="8" w:space="0"/>
          </w:tblBorders>
          <w:tblCellMar>
            <w:top w:w="0" w:type="dxa"/>
            <w:left w:w="108" w:type="dxa"/>
            <w:bottom w:w="0" w:type="dxa"/>
            <w:right w:w="108" w:type="dxa"/>
          </w:tblCellMar>
        </w:tblPrEx>
        <w:trPr>
          <w:trHeight w:val="182" w:hRule="atLeast"/>
        </w:trPr>
        <w:tc>
          <w:tcPr>
            <w:tcW w:w="1457"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adjustRightInd w:val="0"/>
              <w:snapToGrid w:val="0"/>
              <w:spacing w:after="0"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b/>
                <w:bCs/>
                <w:szCs w:val="21"/>
              </w:rPr>
              <w:t>产品、服务与适应力</w:t>
            </w:r>
          </w:p>
        </w:tc>
        <w:tc>
          <w:tcPr>
            <w:tcW w:w="3471"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spacing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绿色产业主体日益多元化、个性化的金融需求促使金融机构需要加强绿色金融产品的创新。</w:t>
            </w:r>
          </w:p>
          <w:p>
            <w:pPr>
              <w:pStyle w:val="2"/>
              <w:spacing w:line="360" w:lineRule="auto"/>
              <w:ind w:left="0" w:leftChars="0" w:firstLine="0" w:firstLineChars="0"/>
              <w:rPr>
                <w:rFonts w:hint="default" w:ascii="Times New Roman" w:hAnsi="Times New Roman" w:eastAsia="宋体" w:cs="宋体"/>
                <w:szCs w:val="21"/>
              </w:rPr>
            </w:pPr>
            <w:r>
              <w:rPr>
                <w:rFonts w:ascii="Times New Roman" w:hAnsi="Times New Roman" w:eastAsia="宋体" w:cs="宋体"/>
                <w:szCs w:val="21"/>
              </w:rPr>
              <w:t>随着“碳达峰碳中和”目标的提出，金融机构的信货业务进一步向低碳产业倾斜。</w:t>
            </w:r>
          </w:p>
        </w:tc>
        <w:tc>
          <w:tcPr>
            <w:tcW w:w="1069" w:type="dxa"/>
            <w:tcBorders>
              <w:top w:val="single" w:color="2E75B6" w:sz="8" w:space="0"/>
              <w:left w:val="single" w:color="2E75B6" w:sz="8" w:space="0"/>
              <w:bottom w:val="single" w:color="2E75B6" w:sz="8" w:space="0"/>
              <w:right w:val="single" w:color="2E75B6" w:sz="8" w:space="0"/>
              <w:tl2br w:val="nil"/>
              <w:tr2bl w:val="nil"/>
            </w:tcBorders>
            <w:vAlign w:val="center"/>
          </w:tcPr>
          <w:p>
            <w:pPr>
              <w:pStyle w:val="2"/>
              <w:spacing w:line="360" w:lineRule="auto"/>
              <w:ind w:left="0" w:leftChars="0" w:firstLine="0" w:firstLineChars="0"/>
              <w:jc w:val="center"/>
              <w:rPr>
                <w:rFonts w:hint="default" w:ascii="Times New Roman" w:hAnsi="Times New Roman" w:eastAsia="宋体" w:cs="宋体"/>
                <w:szCs w:val="21"/>
                <w:highlight w:val="none"/>
              </w:rPr>
            </w:pPr>
            <w:r>
              <w:rPr>
                <w:rFonts w:ascii="Times New Roman" w:hAnsi="Times New Roman" w:eastAsia="宋体" w:cs="宋体"/>
                <w:szCs w:val="21"/>
                <w:highlight w:val="none"/>
              </w:rPr>
              <w:t>中长期</w:t>
            </w:r>
          </w:p>
        </w:tc>
        <w:tc>
          <w:tcPr>
            <w:tcW w:w="2525" w:type="dxa"/>
            <w:tcBorders>
              <w:top w:val="single" w:color="2E75B6" w:sz="8" w:space="0"/>
              <w:left w:val="single" w:color="2E75B6" w:sz="8" w:space="0"/>
              <w:bottom w:val="single" w:color="2E75B6" w:sz="8" w:space="0"/>
              <w:right w:val="single" w:color="2E75B6" w:sz="8" w:space="0"/>
              <w:tl2br w:val="nil"/>
              <w:tr2bl w:val="nil"/>
            </w:tcBorders>
            <w:vAlign w:val="center"/>
          </w:tcPr>
          <w:p>
            <w:pPr>
              <w:spacing w:line="360" w:lineRule="auto"/>
              <w:rPr>
                <w:rFonts w:ascii="Times New Roman" w:hAnsi="Times New Roman" w:eastAsia="宋体"/>
                <w:szCs w:val="21"/>
                <w:highlight w:val="none"/>
              </w:rPr>
            </w:pPr>
            <w:r>
              <w:rPr>
                <w:rFonts w:ascii="Times New Roman" w:hAnsi="Times New Roman" w:eastAsia="宋体"/>
                <w:szCs w:val="21"/>
                <w:highlight w:val="none"/>
              </w:rPr>
              <w:t>1.</w:t>
            </w:r>
            <w:r>
              <w:rPr>
                <w:rFonts w:hint="eastAsia" w:ascii="Times New Roman" w:hAnsi="Times New Roman" w:eastAsia="宋体"/>
                <w:szCs w:val="21"/>
                <w:highlight w:val="none"/>
              </w:rPr>
              <w:t>加强对低碳绿色产业的支持，创新适配于清洁能源和绿色交通项目的产品与服务，推动开展绿色建筑融资创新试点等。</w:t>
            </w:r>
          </w:p>
          <w:p>
            <w:pPr>
              <w:spacing w:line="360" w:lineRule="auto"/>
              <w:jc w:val="left"/>
              <w:rPr>
                <w:rFonts w:ascii="Times New Roman" w:hAnsi="Times New Roman" w:eastAsia="宋体" w:cs="宋体"/>
                <w:szCs w:val="21"/>
                <w:highlight w:val="none"/>
              </w:rPr>
            </w:pPr>
            <w:r>
              <w:rPr>
                <w:rFonts w:ascii="Times New Roman" w:hAnsi="Times New Roman" w:eastAsia="宋体"/>
                <w:szCs w:val="21"/>
                <w:highlight w:val="none"/>
              </w:rPr>
              <w:t>2.</w:t>
            </w:r>
            <w:r>
              <w:rPr>
                <w:rFonts w:hint="eastAsia" w:ascii="Times New Roman" w:hAnsi="Times New Roman" w:eastAsia="宋体"/>
                <w:szCs w:val="21"/>
                <w:highlight w:val="none"/>
              </w:rPr>
              <w:t>发掘可持续发展机遇，重点拓展对可再生能源、新能源汽车、碳捕获与封存（</w:t>
            </w:r>
            <w:r>
              <w:rPr>
                <w:rFonts w:ascii="Times New Roman" w:hAnsi="Times New Roman" w:eastAsia="宋体"/>
                <w:szCs w:val="21"/>
                <w:highlight w:val="none"/>
              </w:rPr>
              <w:t>CCS/BECCS</w:t>
            </w:r>
            <w:r>
              <w:rPr>
                <w:rFonts w:hint="eastAsia" w:ascii="Times New Roman" w:hAnsi="Times New Roman" w:eastAsia="宋体"/>
                <w:szCs w:val="21"/>
                <w:highlight w:val="none"/>
              </w:rPr>
              <w:t>）等绿色产业的支持。</w:t>
            </w:r>
          </w:p>
        </w:tc>
      </w:tr>
      <w:bookmarkEnd w:id="162"/>
      <w:bookmarkEnd w:id="163"/>
      <w:bookmarkEnd w:id="164"/>
    </w:tbl>
    <w:p>
      <w:pPr>
        <w:pStyle w:val="5"/>
        <w:keepNext w:val="0"/>
        <w:keepLines w:val="0"/>
        <w:numPr>
          <w:ilvl w:val="0"/>
          <w:numId w:val="8"/>
        </w:numPr>
        <w:spacing w:line="360" w:lineRule="auto"/>
        <w:ind w:left="419" w:hanging="420"/>
        <w:jc w:val="both"/>
        <w:rPr>
          <w:color w:val="2E75B6" w:themeColor="accent5" w:themeShade="BF"/>
        </w:rPr>
      </w:pPr>
      <w:bookmarkStart w:id="165" w:name="_Toc28385"/>
      <w:r>
        <w:rPr>
          <w:rFonts w:hint="eastAsia" w:cstheme="minorBidi"/>
          <w:bCs w:val="0"/>
          <w:color w:val="2E75B6" w:themeColor="accent5" w:themeShade="BF"/>
        </w:rPr>
        <w:t>环境风险量化分析</w:t>
      </w:r>
      <w:bookmarkEnd w:id="165"/>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cs="Times New Roman"/>
          <w:sz w:val="24"/>
          <w:szCs w:val="24"/>
        </w:rPr>
        <w:t>本行前期已开展环境风险压力测试的工作，通过</w:t>
      </w:r>
      <w:r>
        <w:rPr>
          <w:rFonts w:ascii="Times New Roman" w:hAnsi="Times New Roman" w:eastAsia="宋体" w:cs="Times New Roman"/>
          <w:sz w:val="24"/>
          <w:szCs w:val="24"/>
        </w:rPr>
        <w:t>Z-score</w:t>
      </w:r>
      <w:r>
        <w:rPr>
          <w:rFonts w:hint="eastAsia" w:ascii="Times New Roman" w:hAnsi="Times New Roman" w:eastAsia="宋体" w:cs="Times New Roman"/>
          <w:sz w:val="24"/>
          <w:szCs w:val="24"/>
        </w:rPr>
        <w:t>计分模型测算和量化分析我国碳排放政策和碳交易市场的发展变化对重点控碳企业的影响。</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本行环境压力测试根据“碳达峰碳中和”的战略路线图和生态环境部门关于碳排放碳配额的政策要求，结合国际碳交易价和我国碳交易所的成交记录，设定了轻度、中度、重度三个压力情景。</w:t>
      </w:r>
    </w:p>
    <w:tbl>
      <w:tblPr>
        <w:tblStyle w:val="76"/>
        <w:tblW w:w="8845" w:type="dxa"/>
        <w:tblInd w:w="0" w:type="dxa"/>
        <w:tblLayout w:type="autofit"/>
        <w:tblCellMar>
          <w:top w:w="0" w:type="dxa"/>
          <w:left w:w="108" w:type="dxa"/>
          <w:bottom w:w="0" w:type="dxa"/>
          <w:right w:w="108" w:type="dxa"/>
        </w:tblCellMar>
      </w:tblPr>
      <w:tblGrid>
        <w:gridCol w:w="2211"/>
        <w:gridCol w:w="2211"/>
        <w:gridCol w:w="2211"/>
        <w:gridCol w:w="2212"/>
      </w:tblGrid>
      <w:tr>
        <w:tblPrEx>
          <w:tblCellMar>
            <w:top w:w="0" w:type="dxa"/>
            <w:left w:w="108" w:type="dxa"/>
            <w:bottom w:w="0" w:type="dxa"/>
            <w:right w:w="108" w:type="dxa"/>
          </w:tblCellMar>
        </w:tblPrEx>
        <w:trPr>
          <w:trHeight w:val="800" w:hRule="atLeast"/>
        </w:trPr>
        <w:tc>
          <w:tcPr>
            <w:tcW w:w="0" w:type="dxa"/>
            <w:gridSpan w:val="4"/>
            <w:tcBorders>
              <w:bottom w:val="single" w:color="9CC2E5" w:themeColor="accent5" w:themeTint="99" w:sz="4" w:space="0"/>
              <w:insideH w:val="single" w:sz="4" w:space="0"/>
            </w:tcBorders>
            <w:noWrap/>
          </w:tcPr>
          <w:p>
            <w:pPr>
              <w:pStyle w:val="2"/>
              <w:spacing w:line="360" w:lineRule="auto"/>
              <w:ind w:left="0" w:leftChars="0" w:firstLine="0" w:firstLineChars="0"/>
              <w:jc w:val="center"/>
              <w:rPr>
                <w:rFonts w:hint="default" w:ascii="Times New Roman" w:hAnsi="Times New Roman" w:eastAsia="黑体" w:cs="宋体"/>
                <w:b/>
                <w:bCs/>
              </w:rPr>
            </w:pPr>
            <w:r>
              <w:rPr>
                <w:rFonts w:ascii="Times New Roman" w:hAnsi="Times New Roman" w:eastAsia="黑体" w:cs="宋体"/>
                <w:b/>
                <w:bCs/>
              </w:rPr>
              <w:t>表</w:t>
            </w:r>
            <w:r>
              <w:rPr>
                <w:rFonts w:hint="default" w:ascii="Times New Roman" w:hAnsi="Times New Roman" w:eastAsia="黑体" w:cs="宋体"/>
                <w:b/>
                <w:bCs/>
              </w:rPr>
              <w:t>6-3</w:t>
            </w:r>
            <w:r>
              <w:rPr>
                <w:rFonts w:ascii="Times New Roman" w:hAnsi="Times New Roman" w:eastAsia="黑体" w:cs="宋体"/>
                <w:b/>
                <w:bCs/>
              </w:rPr>
              <w:t>：压力测试的主要情景参数</w:t>
            </w:r>
          </w:p>
        </w:tc>
      </w:tr>
      <w:tr>
        <w:tblPrEx>
          <w:tblCellMar>
            <w:top w:w="0" w:type="dxa"/>
            <w:left w:w="108" w:type="dxa"/>
            <w:bottom w:w="0" w:type="dxa"/>
            <w:right w:w="108" w:type="dxa"/>
          </w:tblCellMar>
        </w:tblPrEx>
        <w:trPr>
          <w:trHeight w:val="600" w:hRule="atLeast"/>
        </w:trPr>
        <w:tc>
          <w:tcPr>
            <w:tcW w:w="0" w:type="dxa"/>
            <w:shd w:val="clear" w:color="auto" w:fill="DEEAF6" w:themeFill="accent5" w:themeFillTint="33"/>
            <w:noWrap/>
          </w:tcPr>
          <w:p>
            <w:pPr>
              <w:widowControl/>
              <w:spacing w:line="360" w:lineRule="auto"/>
              <w:rPr>
                <w:rFonts w:ascii="Times New Roman" w:hAnsi="Times New Roman" w:eastAsia="宋体"/>
                <w:b w:val="0"/>
                <w:bCs/>
                <w:color w:val="000000"/>
                <w:kern w:val="0"/>
                <w:szCs w:val="21"/>
              </w:rPr>
            </w:pPr>
            <w:r>
              <w:rPr>
                <w:rFonts w:hint="eastAsia" w:ascii="Times New Roman" w:hAnsi="Times New Roman" w:eastAsia="宋体"/>
                <w:b/>
                <w:bCs/>
                <w:color w:val="000000"/>
                <w:kern w:val="0"/>
                <w:szCs w:val="21"/>
              </w:rPr>
              <w:t>压力测试情景</w:t>
            </w:r>
          </w:p>
        </w:tc>
        <w:tc>
          <w:tcPr>
            <w:tcW w:w="0" w:type="dxa"/>
            <w:shd w:val="clear" w:color="auto" w:fill="DEEAF6" w:themeFill="accent5" w:themeFillTint="33"/>
            <w:noWrap/>
          </w:tcPr>
          <w:p>
            <w:pPr>
              <w:widowControl/>
              <w:spacing w:line="360" w:lineRule="auto"/>
              <w:jc w:val="center"/>
              <w:rPr>
                <w:rFonts w:ascii="Times New Roman" w:hAnsi="Times New Roman" w:eastAsia="宋体"/>
                <w:b/>
                <w:color w:val="000000"/>
                <w:kern w:val="0"/>
                <w:szCs w:val="21"/>
              </w:rPr>
            </w:pPr>
            <w:r>
              <w:rPr>
                <w:rFonts w:hint="eastAsia" w:ascii="Times New Roman" w:hAnsi="Times New Roman" w:eastAsia="宋体"/>
                <w:b/>
                <w:color w:val="000000"/>
                <w:kern w:val="0"/>
                <w:szCs w:val="21"/>
              </w:rPr>
              <w:t>轻度（近期）</w:t>
            </w:r>
          </w:p>
        </w:tc>
        <w:tc>
          <w:tcPr>
            <w:tcW w:w="0" w:type="dxa"/>
            <w:shd w:val="clear" w:color="auto" w:fill="DEEAF6" w:themeFill="accent5" w:themeFillTint="33"/>
            <w:noWrap/>
          </w:tcPr>
          <w:p>
            <w:pPr>
              <w:widowControl/>
              <w:spacing w:line="360" w:lineRule="auto"/>
              <w:jc w:val="center"/>
              <w:rPr>
                <w:rFonts w:ascii="Times New Roman" w:hAnsi="Times New Roman" w:eastAsia="宋体"/>
                <w:b/>
                <w:color w:val="000000"/>
                <w:kern w:val="0"/>
                <w:szCs w:val="21"/>
              </w:rPr>
            </w:pPr>
            <w:r>
              <w:rPr>
                <w:rFonts w:hint="eastAsia" w:ascii="Times New Roman" w:hAnsi="Times New Roman" w:eastAsia="宋体"/>
                <w:b/>
                <w:color w:val="000000"/>
                <w:kern w:val="0"/>
                <w:szCs w:val="21"/>
              </w:rPr>
              <w:t>中度（中期）</w:t>
            </w:r>
          </w:p>
        </w:tc>
        <w:tc>
          <w:tcPr>
            <w:tcW w:w="0" w:type="dxa"/>
            <w:shd w:val="clear" w:color="auto" w:fill="DEEAF6" w:themeFill="accent5" w:themeFillTint="33"/>
            <w:noWrap/>
          </w:tcPr>
          <w:p>
            <w:pPr>
              <w:widowControl/>
              <w:spacing w:line="360" w:lineRule="auto"/>
              <w:jc w:val="center"/>
              <w:rPr>
                <w:rFonts w:ascii="Times New Roman" w:hAnsi="Times New Roman" w:eastAsia="宋体"/>
                <w:b/>
                <w:color w:val="000000"/>
                <w:kern w:val="0"/>
                <w:szCs w:val="21"/>
              </w:rPr>
            </w:pPr>
            <w:r>
              <w:rPr>
                <w:rFonts w:hint="eastAsia" w:ascii="Times New Roman" w:hAnsi="Times New Roman" w:eastAsia="宋体"/>
                <w:b/>
                <w:color w:val="000000"/>
                <w:kern w:val="0"/>
                <w:szCs w:val="21"/>
              </w:rPr>
              <w:t>重度（远期）</w:t>
            </w:r>
          </w:p>
        </w:tc>
      </w:tr>
      <w:tr>
        <w:tblPrEx>
          <w:tblCellMar>
            <w:top w:w="0" w:type="dxa"/>
            <w:left w:w="108" w:type="dxa"/>
            <w:bottom w:w="0" w:type="dxa"/>
            <w:right w:w="108" w:type="dxa"/>
          </w:tblCellMar>
        </w:tblPrEx>
        <w:trPr>
          <w:trHeight w:val="600" w:hRule="atLeast"/>
        </w:trPr>
        <w:tc>
          <w:tcPr>
            <w:tcW w:w="0" w:type="dxa"/>
            <w:noWrap/>
          </w:tcPr>
          <w:p>
            <w:pPr>
              <w:widowControl/>
              <w:spacing w:line="360" w:lineRule="auto"/>
              <w:rPr>
                <w:rFonts w:ascii="Times New Roman" w:hAnsi="Times New Roman" w:eastAsia="宋体"/>
                <w:b/>
                <w:bCs/>
                <w:color w:val="000000"/>
                <w:kern w:val="0"/>
                <w:szCs w:val="21"/>
              </w:rPr>
            </w:pPr>
            <w:r>
              <w:rPr>
                <w:rFonts w:hint="eastAsia" w:ascii="Times New Roman" w:hAnsi="Times New Roman" w:eastAsia="宋体"/>
                <w:b/>
                <w:bCs/>
                <w:color w:val="000000"/>
                <w:kern w:val="0"/>
                <w:szCs w:val="21"/>
              </w:rPr>
              <w:t>碳交易价（元</w:t>
            </w:r>
            <w:r>
              <w:rPr>
                <w:rFonts w:ascii="Times New Roman" w:hAnsi="Times New Roman" w:eastAsia="宋体"/>
                <w:b/>
                <w:bCs/>
                <w:color w:val="000000"/>
                <w:kern w:val="0"/>
                <w:szCs w:val="21"/>
              </w:rPr>
              <w:t>/</w:t>
            </w:r>
            <w:r>
              <w:rPr>
                <w:rFonts w:hint="eastAsia" w:ascii="Times New Roman" w:hAnsi="Times New Roman" w:eastAsia="宋体"/>
                <w:b/>
                <w:bCs/>
                <w:color w:val="000000"/>
                <w:kern w:val="0"/>
                <w:szCs w:val="21"/>
              </w:rPr>
              <w:t>吨）</w:t>
            </w:r>
          </w:p>
        </w:tc>
        <w:tc>
          <w:tcPr>
            <w:tcW w:w="0" w:type="dxa"/>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50</w:t>
            </w:r>
          </w:p>
        </w:tc>
        <w:tc>
          <w:tcPr>
            <w:tcW w:w="0" w:type="dxa"/>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200</w:t>
            </w:r>
          </w:p>
        </w:tc>
        <w:tc>
          <w:tcPr>
            <w:tcW w:w="0" w:type="dxa"/>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400</w:t>
            </w:r>
          </w:p>
        </w:tc>
      </w:tr>
      <w:tr>
        <w:tblPrEx>
          <w:tblCellMar>
            <w:top w:w="0" w:type="dxa"/>
            <w:left w:w="108" w:type="dxa"/>
            <w:bottom w:w="0" w:type="dxa"/>
            <w:right w:w="108" w:type="dxa"/>
          </w:tblCellMar>
        </w:tblPrEx>
        <w:trPr>
          <w:trHeight w:val="600" w:hRule="atLeast"/>
        </w:trPr>
        <w:tc>
          <w:tcPr>
            <w:tcW w:w="0" w:type="dxa"/>
            <w:shd w:val="clear" w:color="auto" w:fill="DEEAF6" w:themeFill="accent5" w:themeFillTint="33"/>
            <w:noWrap/>
          </w:tcPr>
          <w:p>
            <w:pPr>
              <w:widowControl/>
              <w:spacing w:line="360" w:lineRule="auto"/>
              <w:rPr>
                <w:rFonts w:ascii="Times New Roman" w:hAnsi="Times New Roman" w:eastAsia="宋体"/>
                <w:b/>
                <w:bCs/>
                <w:color w:val="000000"/>
                <w:kern w:val="0"/>
                <w:szCs w:val="21"/>
              </w:rPr>
            </w:pPr>
            <w:r>
              <w:rPr>
                <w:rFonts w:hint="eastAsia" w:ascii="Times New Roman" w:hAnsi="Times New Roman" w:eastAsia="宋体"/>
                <w:b/>
                <w:bCs/>
                <w:color w:val="000000"/>
                <w:kern w:val="0"/>
                <w:szCs w:val="21"/>
              </w:rPr>
              <w:t>碳排放配额降幅</w:t>
            </w:r>
          </w:p>
        </w:tc>
        <w:tc>
          <w:tcPr>
            <w:tcW w:w="0" w:type="dxa"/>
            <w:shd w:val="clear" w:color="auto" w:fill="DEEAF6" w:themeFill="accent5" w:themeFillTint="33"/>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5%</w:t>
            </w:r>
          </w:p>
        </w:tc>
        <w:tc>
          <w:tcPr>
            <w:tcW w:w="0" w:type="dxa"/>
            <w:shd w:val="clear" w:color="auto" w:fill="DEEAF6" w:themeFill="accent5" w:themeFillTint="33"/>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10%</w:t>
            </w:r>
          </w:p>
        </w:tc>
        <w:tc>
          <w:tcPr>
            <w:tcW w:w="0" w:type="dxa"/>
            <w:shd w:val="clear" w:color="auto" w:fill="DEEAF6" w:themeFill="accent5" w:themeFillTint="33"/>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15%</w:t>
            </w:r>
          </w:p>
        </w:tc>
      </w:tr>
      <w:tr>
        <w:tblPrEx>
          <w:tblCellMar>
            <w:top w:w="0" w:type="dxa"/>
            <w:left w:w="108" w:type="dxa"/>
            <w:bottom w:w="0" w:type="dxa"/>
            <w:right w:w="108" w:type="dxa"/>
          </w:tblCellMar>
        </w:tblPrEx>
        <w:trPr>
          <w:trHeight w:val="600" w:hRule="atLeast"/>
        </w:trPr>
        <w:tc>
          <w:tcPr>
            <w:tcW w:w="0" w:type="dxa"/>
            <w:noWrap/>
          </w:tcPr>
          <w:p>
            <w:pPr>
              <w:widowControl/>
              <w:spacing w:line="360" w:lineRule="auto"/>
              <w:rPr>
                <w:rFonts w:ascii="Times New Roman" w:hAnsi="Times New Roman" w:eastAsia="宋体"/>
                <w:b/>
                <w:bCs/>
                <w:color w:val="000000"/>
                <w:kern w:val="0"/>
                <w:szCs w:val="21"/>
              </w:rPr>
            </w:pPr>
            <w:r>
              <w:rPr>
                <w:rFonts w:hint="eastAsia" w:ascii="Times New Roman" w:hAnsi="Times New Roman" w:eastAsia="宋体"/>
                <w:b/>
                <w:bCs/>
                <w:color w:val="000000"/>
                <w:kern w:val="0"/>
                <w:szCs w:val="21"/>
              </w:rPr>
              <w:t>有偿配额比例</w:t>
            </w:r>
          </w:p>
        </w:tc>
        <w:tc>
          <w:tcPr>
            <w:tcW w:w="0" w:type="dxa"/>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3%</w:t>
            </w:r>
          </w:p>
        </w:tc>
        <w:tc>
          <w:tcPr>
            <w:tcW w:w="0" w:type="dxa"/>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10%</w:t>
            </w:r>
          </w:p>
        </w:tc>
        <w:tc>
          <w:tcPr>
            <w:tcW w:w="0" w:type="dxa"/>
            <w:noWrap/>
          </w:tcPr>
          <w:p>
            <w:pPr>
              <w:widowControl/>
              <w:spacing w:line="360" w:lineRule="auto"/>
              <w:jc w:val="center"/>
              <w:rPr>
                <w:rFonts w:ascii="Times New Roman" w:hAnsi="Times New Roman" w:eastAsia="宋体"/>
                <w:color w:val="000000"/>
                <w:kern w:val="0"/>
                <w:szCs w:val="21"/>
              </w:rPr>
            </w:pPr>
            <w:r>
              <w:rPr>
                <w:rFonts w:ascii="Times New Roman" w:hAnsi="Times New Roman" w:eastAsia="宋体"/>
                <w:color w:val="000000"/>
                <w:kern w:val="0"/>
                <w:szCs w:val="21"/>
              </w:rPr>
              <w:t>30%</w:t>
            </w:r>
          </w:p>
        </w:tc>
      </w:tr>
    </w:tbl>
    <w:p>
      <w:pPr>
        <w:spacing w:line="360" w:lineRule="auto"/>
        <w:ind w:firstLine="480" w:firstLineChars="200"/>
        <w:rPr>
          <w:rFonts w:ascii="Times New Roman" w:hAnsi="Times New Roman" w:eastAsia="宋体" w:cs="Times New Roman"/>
          <w:sz w:val="24"/>
          <w:szCs w:val="24"/>
        </w:rPr>
      </w:pPr>
      <w:bookmarkStart w:id="166" w:name="_Toc113969333"/>
      <w:bookmarkStart w:id="167" w:name="_Toc5745"/>
      <w:r>
        <w:rPr>
          <w:rFonts w:hint="eastAsia" w:ascii="Times New Roman" w:hAnsi="Times New Roman" w:eastAsia="宋体" w:cs="Times New Roman"/>
          <w:sz w:val="24"/>
          <w:szCs w:val="24"/>
        </w:rPr>
        <w:t>在轻度和中度情景的影响下，控排企业财务状态基本保持稳定，而在碳排放、碳配额的政策要求和碳交易价值发生重大变化的重度情景下，控排企业的财务状态出现不同程度的下滑，对本行贷款资产质量有较明显的影响，但仍在可控范围。</w:t>
      </w:r>
    </w:p>
    <w:p>
      <w:pPr>
        <w:spacing w:line="360" w:lineRule="auto"/>
        <w:jc w:val="center"/>
        <w:rPr>
          <w:rFonts w:hint="eastAsia" w:ascii="Times New Roman" w:hAnsi="Times New Roman" w:eastAsia="宋体" w:cs="Calibri"/>
          <w:szCs w:val="21"/>
          <w:lang w:eastAsia="zh-CN"/>
        </w:rPr>
      </w:pPr>
      <w:r>
        <w:rPr>
          <w:rFonts w:hint="eastAsia" w:ascii="Times New Roman" w:hAnsi="Times New Roman" w:eastAsia="宋体" w:cs="Calibri"/>
          <w:szCs w:val="21"/>
          <w:lang w:eastAsia="zh-CN"/>
        </w:rPr>
        <w:drawing>
          <wp:inline distT="0" distB="0" distL="114300" distR="114300">
            <wp:extent cx="4260215" cy="2549525"/>
            <wp:effectExtent l="0" t="0" r="6985" b="3175"/>
            <wp:docPr id="8" name="图片 8" descr="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改"/>
                    <pic:cNvPicPr>
                      <a:picLocks noChangeAspect="1"/>
                    </pic:cNvPicPr>
                  </pic:nvPicPr>
                  <pic:blipFill>
                    <a:blip r:embed="rId22"/>
                    <a:stretch>
                      <a:fillRect/>
                    </a:stretch>
                  </pic:blipFill>
                  <pic:spPr>
                    <a:xfrm>
                      <a:off x="0" y="0"/>
                      <a:ext cx="4260215" cy="2549525"/>
                    </a:xfrm>
                    <a:prstGeom prst="rect">
                      <a:avLst/>
                    </a:prstGeom>
                  </pic:spPr>
                </pic:pic>
              </a:graphicData>
            </a:graphic>
          </wp:inline>
        </w:drawing>
      </w:r>
    </w:p>
    <w:p>
      <w:pPr>
        <w:pStyle w:val="2"/>
        <w:spacing w:line="360" w:lineRule="auto"/>
        <w:ind w:left="0" w:leftChars="0" w:firstLine="0" w:firstLineChars="0"/>
        <w:jc w:val="center"/>
        <w:rPr>
          <w:rFonts w:hint="default" w:ascii="Times New Roman" w:hAnsi="Times New Roman" w:eastAsia="黑体" w:cs="宋体"/>
        </w:rPr>
      </w:pPr>
      <w:r>
        <w:rPr>
          <w:rFonts w:ascii="Times New Roman" w:hAnsi="Times New Roman" w:eastAsia="黑体" w:cs="宋体"/>
        </w:rPr>
        <w:t>图6</w:t>
      </w:r>
      <w:r>
        <w:rPr>
          <w:rFonts w:hint="default" w:ascii="Times New Roman" w:hAnsi="Times New Roman" w:eastAsia="黑体" w:cs="宋体"/>
        </w:rPr>
        <w:t>-1</w:t>
      </w:r>
      <w:r>
        <w:rPr>
          <w:rFonts w:ascii="Times New Roman" w:hAnsi="Times New Roman" w:eastAsia="黑体" w:cs="宋体"/>
        </w:rPr>
        <w:t>：本行选取的控排企业客户在不同情景下的破产指数变化</w:t>
      </w:r>
    </w:p>
    <w:p>
      <w:pPr>
        <w:spacing w:line="360" w:lineRule="auto"/>
        <w:ind w:firstLine="480" w:firstLineChars="200"/>
        <w:rPr>
          <w:rFonts w:ascii="Times New Roman" w:hAnsi="Times New Roman"/>
          <w:color w:val="2E75B6" w:themeColor="accent5" w:themeShade="BF"/>
        </w:rPr>
      </w:pPr>
      <w:r>
        <w:rPr>
          <w:rFonts w:hint="eastAsia" w:ascii="Times New Roman" w:hAnsi="Times New Roman" w:eastAsia="宋体" w:cs="Times New Roman"/>
          <w:sz w:val="24"/>
          <w:szCs w:val="24"/>
        </w:rPr>
        <w:t>测试结果表明，未来碳价上升，碳排放政策收紧，碳排放重点管控企业的信用风险将会明显上升。本行通过密切监测相关风险因子，及时调整信贷政策，做好风险防范应对机制，将大大减少环境风险的影响。</w:t>
      </w:r>
    </w:p>
    <w:p>
      <w:pPr>
        <w:pStyle w:val="4"/>
        <w:spacing w:line="360" w:lineRule="auto"/>
        <w:rPr>
          <w:color w:val="2E75B6" w:themeColor="accent5" w:themeShade="BF"/>
        </w:rPr>
      </w:pPr>
      <w:bookmarkStart w:id="168" w:name="_Toc23358"/>
      <w:bookmarkStart w:id="169" w:name="_Toc27549"/>
      <w:bookmarkStart w:id="170" w:name="_Toc30767"/>
      <w:bookmarkStart w:id="171" w:name="_Toc13753"/>
      <w:bookmarkStart w:id="172" w:name="_Toc9662"/>
      <w:r>
        <w:rPr>
          <w:color w:val="2E75B6" w:themeColor="accent5" w:themeShade="BF"/>
        </w:rPr>
        <w:br w:type="page"/>
      </w:r>
    </w:p>
    <w:p>
      <w:pPr>
        <w:pStyle w:val="4"/>
        <w:spacing w:line="360" w:lineRule="auto"/>
        <w:rPr>
          <w:color w:val="2E75B6" w:themeColor="accent5" w:themeShade="BF"/>
        </w:rPr>
      </w:pPr>
      <w:bookmarkStart w:id="173" w:name="_Toc20906"/>
      <w:r>
        <w:rPr>
          <w:rFonts w:hint="eastAsia"/>
          <w:color w:val="2E75B6" w:themeColor="accent5" w:themeShade="BF"/>
        </w:rPr>
        <w:t>第七部分 投融资活动的环境影响</w:t>
      </w:r>
      <w:bookmarkEnd w:id="166"/>
      <w:bookmarkEnd w:id="167"/>
      <w:bookmarkEnd w:id="168"/>
      <w:bookmarkEnd w:id="169"/>
      <w:bookmarkEnd w:id="170"/>
      <w:bookmarkEnd w:id="171"/>
      <w:bookmarkEnd w:id="172"/>
      <w:bookmarkEnd w:id="173"/>
      <w:bookmarkStart w:id="174" w:name="_Toc10345"/>
    </w:p>
    <w:p>
      <w:pPr>
        <w:spacing w:line="360" w:lineRule="auto"/>
        <w:rPr>
          <w:rFonts w:ascii="Times New Roman" w:hAnsi="Times New Roman" w:eastAsia="楷体" w:cs="Times New Roman"/>
          <w:color w:val="2E75B6" w:themeColor="accent5" w:themeShade="BF"/>
          <w:sz w:val="24"/>
          <w:szCs w:val="24"/>
        </w:rPr>
      </w:pPr>
      <w:bookmarkStart w:id="175" w:name="_Toc17744"/>
    </w:p>
    <w:p>
      <w:pPr>
        <w:pStyle w:val="5"/>
        <w:keepNext w:val="0"/>
        <w:keepLines w:val="0"/>
        <w:numPr>
          <w:ilvl w:val="0"/>
          <w:numId w:val="9"/>
        </w:numPr>
        <w:spacing w:line="360" w:lineRule="auto"/>
        <w:jc w:val="both"/>
        <w:rPr>
          <w:rFonts w:cstheme="minorBidi"/>
          <w:bCs w:val="0"/>
          <w:color w:val="2E75B6" w:themeColor="accent5" w:themeShade="BF"/>
        </w:rPr>
      </w:pPr>
      <w:bookmarkStart w:id="176" w:name="_Toc26370"/>
      <w:bookmarkStart w:id="177" w:name="_Toc28386"/>
      <w:bookmarkStart w:id="178" w:name="_Toc9145"/>
      <w:bookmarkStart w:id="179" w:name="_Toc1064"/>
      <w:bookmarkStart w:id="180" w:name="_Toc28452"/>
      <w:r>
        <w:rPr>
          <w:rFonts w:hint="eastAsia" w:cstheme="minorBidi"/>
          <w:bCs w:val="0"/>
          <w:color w:val="2E75B6" w:themeColor="accent5" w:themeShade="BF"/>
        </w:rPr>
        <w:t>投融资活动产生的环境影响</w:t>
      </w:r>
      <w:bookmarkEnd w:id="174"/>
      <w:bookmarkEnd w:id="175"/>
      <w:bookmarkEnd w:id="176"/>
      <w:bookmarkEnd w:id="177"/>
      <w:bookmarkEnd w:id="178"/>
      <w:bookmarkEnd w:id="179"/>
      <w:bookmarkEnd w:id="180"/>
    </w:p>
    <w:p>
      <w:pPr>
        <w:pStyle w:val="6"/>
        <w:numPr>
          <w:ilvl w:val="0"/>
          <w:numId w:val="10"/>
        </w:numPr>
        <w:spacing w:line="360" w:lineRule="auto"/>
        <w:jc w:val="both"/>
        <w:rPr>
          <w:bCs w:val="0"/>
          <w:color w:val="2E75B6" w:themeColor="accent5" w:themeShade="BF"/>
        </w:rPr>
      </w:pPr>
      <w:bookmarkStart w:id="181" w:name="_Toc14350"/>
      <w:bookmarkStart w:id="182" w:name="_Toc21189"/>
      <w:bookmarkStart w:id="183" w:name="_Toc9412"/>
      <w:bookmarkStart w:id="184" w:name="_Toc8854"/>
      <w:bookmarkStart w:id="185" w:name="_Toc369"/>
      <w:r>
        <w:rPr>
          <w:rFonts w:hint="eastAsia"/>
          <w:bCs w:val="0"/>
          <w:color w:val="2E75B6" w:themeColor="accent5" w:themeShade="BF"/>
        </w:rPr>
        <w:t>绿色投融资结构及环境影响</w:t>
      </w:r>
    </w:p>
    <w:p>
      <w:pPr>
        <w:pStyle w:val="2"/>
        <w:spacing w:line="360" w:lineRule="auto"/>
        <w:ind w:left="0" w:leftChars="0" w:firstLine="0" w:firstLineChars="0"/>
        <w:jc w:val="center"/>
        <w:rPr>
          <w:rFonts w:hint="default" w:ascii="Times New Roman" w:hAnsi="Times New Roman" w:eastAsia="黑体" w:cs="宋体"/>
        </w:rPr>
      </w:pPr>
      <w:r>
        <w:rPr>
          <w:rFonts w:ascii="Times New Roman" w:hAnsi="Times New Roman" w:eastAsia="黑体" w:cs="宋体"/>
        </w:rPr>
        <w:t>表</w:t>
      </w:r>
      <w:r>
        <w:rPr>
          <w:rFonts w:hint="default" w:ascii="Times New Roman" w:hAnsi="Times New Roman" w:eastAsia="黑体" w:cs="宋体"/>
        </w:rPr>
        <w:t>7-1</w:t>
      </w:r>
      <w:r>
        <w:rPr>
          <w:rFonts w:ascii="Times New Roman" w:hAnsi="Times New Roman" w:eastAsia="黑体" w:cs="宋体"/>
        </w:rPr>
        <w:t>：江门农商银行投融资整体情况</w:t>
      </w:r>
    </w:p>
    <w:tbl>
      <w:tblPr>
        <w:tblStyle w:val="70"/>
        <w:tblW w:w="5000" w:type="pct"/>
        <w:jc w:val="cente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2131"/>
        <w:gridCol w:w="2131"/>
        <w:gridCol w:w="2130"/>
        <w:gridCol w:w="2130"/>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343" w:hRule="atLeast"/>
          <w:jc w:val="center"/>
        </w:trPr>
        <w:tc>
          <w:tcPr>
            <w:tcW w:w="0" w:type="pct"/>
            <w:vMerge w:val="restart"/>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noWrap/>
            <w:vAlign w:val="center"/>
          </w:tcPr>
          <w:p>
            <w:pPr>
              <w:widowControl/>
              <w:spacing w:line="360" w:lineRule="auto"/>
              <w:jc w:val="center"/>
              <w:textAlignment w:val="center"/>
              <w:rPr>
                <w:rFonts w:ascii="Times New Roman" w:hAnsi="Times New Roman" w:eastAsia="宋体" w:cs="Times New Roman"/>
                <w:b w:val="0"/>
                <w:bCs w:val="0"/>
                <w:color w:val="FFFFFF" w:themeColor="background1"/>
                <w:kern w:val="0"/>
                <w:szCs w:val="21"/>
                <w:lang w:bidi="ar"/>
                <w14:textFill>
                  <w14:solidFill>
                    <w14:schemeClr w14:val="bg1"/>
                  </w14:solidFill>
                </w14:textFill>
              </w:rPr>
            </w:pPr>
            <w:r>
              <w:rPr>
                <w:rFonts w:hint="eastAsia" w:ascii="Times New Roman" w:hAnsi="Times New Roman" w:eastAsia="宋体" w:cs="Times New Roman"/>
                <w:b/>
                <w:bCs/>
                <w:color w:val="FFFFFF" w:themeColor="background1"/>
                <w:kern w:val="0"/>
                <w:szCs w:val="21"/>
                <w:lang w:bidi="ar"/>
                <w14:textFill>
                  <w14:solidFill>
                    <w14:schemeClr w14:val="bg1"/>
                  </w14:solidFill>
                </w14:textFill>
              </w:rPr>
              <w:t>指标</w:t>
            </w:r>
          </w:p>
        </w:tc>
        <w:tc>
          <w:tcPr>
            <w:tcW w:w="0" w:type="pct"/>
            <w:gridSpan w:val="2"/>
            <w:tcBorders>
              <w:top w:val="single" w:color="5B9BD5" w:themeColor="accent5" w:sz="4" w:space="0"/>
              <w:bottom w:val="single" w:color="5B9BD5" w:themeColor="accent5" w:sz="4" w:space="0"/>
              <w:right w:val="nil"/>
              <w:insideH w:val="single" w:sz="4" w:space="0"/>
              <w:insideV w:val="nil"/>
            </w:tcBorders>
            <w:shd w:val="clear" w:color="auto" w:fill="5B9BD5" w:themeFill="accent5"/>
            <w:noWrap/>
            <w:vAlign w:val="center"/>
          </w:tcPr>
          <w:p>
            <w:pPr>
              <w:widowControl/>
              <w:spacing w:line="360" w:lineRule="auto"/>
              <w:jc w:val="center"/>
              <w:textAlignment w:val="center"/>
              <w:rPr>
                <w:rFonts w:ascii="Times New Roman" w:hAnsi="Times New Roman" w:eastAsia="宋体" w:cs="Times New Roman"/>
                <w:b w:val="0"/>
                <w:bCs w:val="0"/>
                <w:color w:val="FFFFFF" w:themeColor="background1"/>
                <w:kern w:val="0"/>
                <w:szCs w:val="21"/>
                <w:lang w:bidi="ar"/>
                <w14:textFill>
                  <w14:solidFill>
                    <w14:schemeClr w14:val="bg1"/>
                  </w14:solidFill>
                </w14:textFill>
              </w:rPr>
            </w:pPr>
            <w:r>
              <w:rPr>
                <w:rFonts w:hint="eastAsia" w:ascii="Times New Roman" w:hAnsi="Times New Roman" w:eastAsia="宋体" w:cs="Times New Roman"/>
                <w:b/>
                <w:bCs/>
                <w:color w:val="FFFFFF" w:themeColor="background1"/>
                <w:kern w:val="0"/>
                <w:szCs w:val="21"/>
                <w:lang w:bidi="ar"/>
                <w14:textFill>
                  <w14:solidFill>
                    <w14:schemeClr w14:val="bg1"/>
                  </w14:solidFill>
                </w14:textFill>
              </w:rPr>
              <w:t>金额（</w:t>
            </w:r>
            <w:r>
              <w:rPr>
                <w:rFonts w:hint="eastAsia" w:ascii="Times New Roman" w:hAnsi="Times New Roman" w:eastAsia="宋体" w:cs="Times New Roman"/>
                <w:b/>
                <w:bCs/>
                <w:color w:val="FFFFFF" w:themeColor="background1"/>
                <w:kern w:val="0"/>
                <w:szCs w:val="21"/>
                <w:lang w:eastAsia="zh-Hans" w:bidi="ar"/>
                <w14:textFill>
                  <w14:solidFill>
                    <w14:schemeClr w14:val="bg1"/>
                  </w14:solidFill>
                </w14:textFill>
              </w:rPr>
              <w:t>亿</w:t>
            </w:r>
            <w:r>
              <w:rPr>
                <w:rFonts w:hint="eastAsia" w:ascii="Times New Roman" w:hAnsi="Times New Roman" w:eastAsia="宋体" w:cs="Times New Roman"/>
                <w:b/>
                <w:bCs/>
                <w:color w:val="FFFFFF" w:themeColor="background1"/>
                <w:kern w:val="0"/>
                <w:szCs w:val="21"/>
                <w:lang w:bidi="ar"/>
                <w14:textFill>
                  <w14:solidFill>
                    <w14:schemeClr w14:val="bg1"/>
                  </w14:solidFill>
                </w14:textFill>
              </w:rPr>
              <w:t>元，</w:t>
            </w:r>
            <w:r>
              <w:rPr>
                <w:rFonts w:ascii="Times New Roman" w:hAnsi="Times New Roman" w:eastAsia="宋体" w:cs="Times New Roman"/>
                <w:b/>
                <w:bCs/>
                <w:color w:val="FFFFFF" w:themeColor="background1"/>
                <w:kern w:val="0"/>
                <w:szCs w:val="21"/>
                <w:lang w:bidi="ar"/>
                <w14:textFill>
                  <w14:solidFill>
                    <w14:schemeClr w14:val="bg1"/>
                  </w14:solidFill>
                </w14:textFill>
              </w:rPr>
              <w:t>%</w:t>
            </w:r>
            <w:r>
              <w:rPr>
                <w:rFonts w:hint="eastAsia" w:ascii="Times New Roman" w:hAnsi="Times New Roman" w:eastAsia="宋体" w:cs="Times New Roman"/>
                <w:b/>
                <w:bCs/>
                <w:color w:val="FFFFFF" w:themeColor="background1"/>
                <w:kern w:val="0"/>
                <w:szCs w:val="21"/>
                <w:lang w:bidi="ar"/>
                <w14:textFill>
                  <w14:solidFill>
                    <w14:schemeClr w14:val="bg1"/>
                  </w14:solidFill>
                </w14:textFill>
              </w:rPr>
              <w:t>）</w:t>
            </w:r>
          </w:p>
        </w:tc>
        <w:tc>
          <w:tcPr>
            <w:tcW w:w="0" w:type="pct"/>
            <w:vMerge w:val="restart"/>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noWrap/>
            <w:vAlign w:val="center"/>
          </w:tcPr>
          <w:p>
            <w:pPr>
              <w:widowControl/>
              <w:spacing w:line="360" w:lineRule="auto"/>
              <w:jc w:val="center"/>
              <w:textAlignment w:val="center"/>
              <w:rPr>
                <w:rFonts w:ascii="Times New Roman" w:hAnsi="Times New Roman" w:eastAsia="宋体" w:cs="Times New Roman"/>
                <w:b w:val="0"/>
                <w:bCs w:val="0"/>
                <w:color w:val="FFFFFF" w:themeColor="background1"/>
                <w:kern w:val="0"/>
                <w:szCs w:val="21"/>
                <w:lang w:bidi="ar"/>
                <w14:textFill>
                  <w14:solidFill>
                    <w14:schemeClr w14:val="bg1"/>
                  </w14:solidFill>
                </w14:textFill>
              </w:rPr>
            </w:pPr>
            <w:r>
              <w:rPr>
                <w:rFonts w:hint="eastAsia" w:ascii="Times New Roman" w:hAnsi="Times New Roman" w:eastAsia="宋体" w:cs="Times New Roman"/>
                <w:b/>
                <w:bCs/>
                <w:color w:val="FFFFFF" w:themeColor="background1"/>
                <w:kern w:val="0"/>
                <w:szCs w:val="21"/>
                <w:lang w:bidi="ar"/>
                <w14:textFill>
                  <w14:solidFill>
                    <w14:schemeClr w14:val="bg1"/>
                  </w14:solidFill>
                </w14:textFill>
              </w:rPr>
              <w:t>同比变动（</w:t>
            </w:r>
            <w:r>
              <w:rPr>
                <w:rFonts w:ascii="Times New Roman" w:hAnsi="Times New Roman" w:eastAsia="宋体" w:cs="Times New Roman"/>
                <w:b/>
                <w:bCs/>
                <w:color w:val="FFFFFF" w:themeColor="background1"/>
                <w:kern w:val="0"/>
                <w:szCs w:val="21"/>
                <w:lang w:bidi="ar"/>
                <w14:textFill>
                  <w14:solidFill>
                    <w14:schemeClr w14:val="bg1"/>
                  </w14:solidFill>
                </w14:textFill>
              </w:rPr>
              <w:t>%</w:t>
            </w:r>
            <w:r>
              <w:rPr>
                <w:rFonts w:hint="eastAsia" w:ascii="Times New Roman" w:hAnsi="Times New Roman" w:eastAsia="宋体" w:cs="Times New Roman"/>
                <w:b/>
                <w:bCs/>
                <w:color w:val="FFFFFF" w:themeColor="background1"/>
                <w:kern w:val="0"/>
                <w:szCs w:val="21"/>
                <w:lang w:bidi="ar"/>
                <w14:textFill>
                  <w14:solidFill>
                    <w14:schemeClr w14:val="bg1"/>
                  </w14:solidFill>
                </w14:textFill>
              </w:rPr>
              <w:t>）</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358" w:hRule="atLeast"/>
          <w:jc w:val="center"/>
        </w:trPr>
        <w:tc>
          <w:tcPr>
            <w:tcW w:w="0" w:type="pct"/>
            <w:vMerge w:val="continue"/>
            <w:shd w:val="clear" w:color="auto" w:fill="DEEAF6" w:themeFill="accent5" w:themeFillTint="33"/>
            <w:noWrap/>
            <w:vAlign w:val="center"/>
          </w:tcPr>
          <w:p>
            <w:pPr>
              <w:widowControl/>
              <w:spacing w:line="360" w:lineRule="auto"/>
              <w:textAlignment w:val="center"/>
              <w:rPr>
                <w:rFonts w:ascii="Times New Roman" w:hAnsi="Times New Roman" w:eastAsia="宋体" w:cs="Times New Roman"/>
                <w:b/>
                <w:bCs/>
                <w:color w:val="000000"/>
                <w:kern w:val="0"/>
                <w:szCs w:val="21"/>
                <w:lang w:bidi="ar"/>
              </w:rPr>
            </w:pPr>
          </w:p>
        </w:tc>
        <w:tc>
          <w:tcPr>
            <w:tcW w:w="0" w:type="pct"/>
            <w:shd w:val="clear" w:color="auto" w:fill="DEEAF6" w:themeFill="accent5" w:themeFillTint="33"/>
            <w:noWrap/>
            <w:vAlign w:val="center"/>
          </w:tcPr>
          <w:p>
            <w:pPr>
              <w:widowControl/>
              <w:spacing w:line="360" w:lineRule="auto"/>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2021</w:t>
            </w:r>
            <w:r>
              <w:rPr>
                <w:rFonts w:hint="eastAsia" w:ascii="Times New Roman" w:hAnsi="Times New Roman" w:eastAsia="宋体" w:cs="Times New Roman"/>
                <w:b/>
                <w:bCs/>
                <w:kern w:val="0"/>
                <w:szCs w:val="21"/>
                <w:lang w:bidi="ar"/>
              </w:rPr>
              <w:t>年</w:t>
            </w:r>
          </w:p>
        </w:tc>
        <w:tc>
          <w:tcPr>
            <w:tcW w:w="0" w:type="pct"/>
            <w:shd w:val="clear" w:color="auto" w:fill="DEEAF6" w:themeFill="accent5" w:themeFillTint="33"/>
            <w:noWrap/>
            <w:vAlign w:val="center"/>
          </w:tcPr>
          <w:p>
            <w:pPr>
              <w:widowControl/>
              <w:spacing w:line="360" w:lineRule="auto"/>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2022</w:t>
            </w:r>
            <w:r>
              <w:rPr>
                <w:rFonts w:hint="eastAsia" w:ascii="Times New Roman" w:hAnsi="Times New Roman" w:eastAsia="宋体" w:cs="Times New Roman"/>
                <w:b/>
                <w:bCs/>
                <w:kern w:val="0"/>
                <w:szCs w:val="21"/>
                <w:lang w:bidi="ar"/>
              </w:rPr>
              <w:t>年</w:t>
            </w:r>
          </w:p>
        </w:tc>
        <w:tc>
          <w:tcPr>
            <w:tcW w:w="0" w:type="pct"/>
            <w:vMerge w:val="continue"/>
            <w:shd w:val="clear" w:color="auto" w:fill="DEEAF6" w:themeFill="accent5" w:themeFillTint="33"/>
            <w:noWrap/>
            <w:vAlign w:val="center"/>
          </w:tcPr>
          <w:p>
            <w:pPr>
              <w:widowControl/>
              <w:spacing w:line="360" w:lineRule="auto"/>
              <w:jc w:val="center"/>
              <w:textAlignment w:val="center"/>
              <w:rPr>
                <w:rFonts w:ascii="Times New Roman" w:hAnsi="Times New Roman" w:eastAsia="宋体" w:cs="Times New Roman"/>
                <w:b/>
                <w:bCs/>
                <w:color w:val="000000"/>
                <w:kern w:val="0"/>
                <w:szCs w:val="21"/>
                <w:lang w:bidi="ar"/>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5" w:hRule="atLeast"/>
          <w:jc w:val="center"/>
        </w:trPr>
        <w:tc>
          <w:tcPr>
            <w:tcW w:w="0" w:type="pct"/>
            <w:noWrap/>
            <w:vAlign w:val="center"/>
          </w:tcPr>
          <w:p>
            <w:pPr>
              <w:widowControl/>
              <w:spacing w:line="360" w:lineRule="auto"/>
              <w:textAlignment w:val="center"/>
              <w:rPr>
                <w:rFonts w:ascii="Times New Roman" w:hAnsi="Times New Roman" w:eastAsia="宋体" w:cs="Times New Roman"/>
                <w:b/>
                <w:bCs/>
                <w:color w:val="000000"/>
                <w:kern w:val="0"/>
                <w:szCs w:val="21"/>
                <w:lang w:eastAsia="zh-Hans" w:bidi="ar"/>
              </w:rPr>
            </w:pPr>
            <w:r>
              <w:rPr>
                <w:rFonts w:hint="eastAsia" w:ascii="Times New Roman" w:hAnsi="Times New Roman" w:eastAsia="宋体" w:cs="Times New Roman"/>
                <w:b/>
                <w:bCs/>
                <w:color w:val="000000"/>
                <w:kern w:val="0"/>
                <w:szCs w:val="21"/>
                <w:lang w:eastAsia="zh-Hans" w:bidi="ar"/>
              </w:rPr>
              <w:t>各项贷款余额</w:t>
            </w:r>
          </w:p>
        </w:tc>
        <w:tc>
          <w:tcPr>
            <w:tcW w:w="0" w:type="pct"/>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626</w:t>
            </w:r>
            <w:r>
              <w:rPr>
                <w:rFonts w:ascii="Times New Roman" w:hAnsi="Times New Roman" w:eastAsia="宋体" w:cs="Times New Roman"/>
                <w:color w:val="000000"/>
                <w:kern w:val="0"/>
                <w:szCs w:val="21"/>
                <w:lang w:eastAsia="zh-Hans" w:bidi="ar"/>
              </w:rPr>
              <w:t>.42</w:t>
            </w:r>
          </w:p>
        </w:tc>
        <w:tc>
          <w:tcPr>
            <w:tcW w:w="0" w:type="pct"/>
            <w:noWrap/>
            <w:vAlign w:val="center"/>
          </w:tcPr>
          <w:p>
            <w:pPr>
              <w:spacing w:line="360" w:lineRule="auto"/>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708.03</w:t>
            </w:r>
          </w:p>
        </w:tc>
        <w:tc>
          <w:tcPr>
            <w:tcW w:w="0" w:type="pct"/>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hint="eastAsia" w:ascii="Times New Roman" w:hAnsi="Times New Roman" w:eastAsia="宋体" w:cs="Times New Roman"/>
                <w:color w:val="000000"/>
                <w:kern w:val="0"/>
                <w:szCs w:val="21"/>
                <w:lang w:val="en-US" w:eastAsia="zh-CN" w:bidi="ar"/>
              </w:rPr>
              <w:t>13.03</w:t>
            </w:r>
            <w:r>
              <w:rPr>
                <w:rFonts w:ascii="Times New Roman" w:hAnsi="Times New Roman" w:eastAsia="宋体" w:cs="Times New Roman"/>
                <w:color w:val="000000"/>
                <w:kern w:val="0"/>
                <w:szCs w:val="21"/>
                <w:lang w:eastAsia="zh-Hans" w:bidi="ar"/>
              </w:rPr>
              <w:t>%</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5" w:hRule="atLeast"/>
          <w:jc w:val="center"/>
        </w:trPr>
        <w:tc>
          <w:tcPr>
            <w:tcW w:w="0" w:type="pct"/>
            <w:shd w:val="clear" w:color="auto" w:fill="DEEAF6" w:themeFill="accent5" w:themeFillTint="33"/>
            <w:noWrap/>
            <w:vAlign w:val="center"/>
          </w:tcPr>
          <w:p>
            <w:pPr>
              <w:widowControl/>
              <w:spacing w:line="360" w:lineRule="auto"/>
              <w:textAlignment w:val="center"/>
              <w:rPr>
                <w:rFonts w:ascii="Times New Roman" w:hAnsi="Times New Roman" w:eastAsia="宋体" w:cs="Times New Roman"/>
                <w:b/>
                <w:bCs/>
                <w:color w:val="000000"/>
                <w:kern w:val="0"/>
                <w:szCs w:val="21"/>
                <w:lang w:eastAsia="zh-Hans" w:bidi="ar"/>
              </w:rPr>
            </w:pPr>
            <w:r>
              <w:rPr>
                <w:rFonts w:hint="eastAsia" w:ascii="Times New Roman" w:hAnsi="Times New Roman" w:eastAsia="宋体" w:cs="Times New Roman"/>
                <w:b/>
                <w:bCs/>
                <w:color w:val="000000"/>
                <w:kern w:val="0"/>
                <w:szCs w:val="21"/>
                <w:lang w:bidi="ar"/>
              </w:rPr>
              <w:t>绿色信贷</w:t>
            </w:r>
            <w:r>
              <w:rPr>
                <w:rFonts w:hint="eastAsia" w:ascii="Times New Roman" w:hAnsi="Times New Roman" w:eastAsia="宋体" w:cs="Times New Roman"/>
                <w:b/>
                <w:bCs/>
                <w:color w:val="000000"/>
                <w:kern w:val="0"/>
                <w:szCs w:val="21"/>
                <w:lang w:eastAsia="zh-Hans" w:bidi="ar"/>
              </w:rPr>
              <w:t>余额</w:t>
            </w:r>
          </w:p>
        </w:tc>
        <w:tc>
          <w:tcPr>
            <w:tcW w:w="0" w:type="pct"/>
            <w:shd w:val="clear" w:color="auto" w:fill="DEEAF6" w:themeFill="accent5" w:themeFillTint="33"/>
            <w:noWrap/>
            <w:vAlign w:val="center"/>
          </w:tcPr>
          <w:p>
            <w:pPr>
              <w:spacing w:line="360" w:lineRule="auto"/>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8.00</w:t>
            </w:r>
          </w:p>
        </w:tc>
        <w:tc>
          <w:tcPr>
            <w:tcW w:w="0" w:type="pct"/>
            <w:shd w:val="clear" w:color="auto" w:fill="DEEAF6" w:themeFill="accent5" w:themeFillTint="33"/>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11.22</w:t>
            </w:r>
          </w:p>
        </w:tc>
        <w:tc>
          <w:tcPr>
            <w:tcW w:w="0" w:type="pct"/>
            <w:shd w:val="clear" w:color="auto" w:fill="DEEAF6" w:themeFill="accent5" w:themeFillTint="33"/>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40</w:t>
            </w:r>
            <w:r>
              <w:rPr>
                <w:rFonts w:ascii="Times New Roman" w:hAnsi="Times New Roman" w:eastAsia="宋体" w:cs="Times New Roman"/>
                <w:color w:val="000000"/>
                <w:kern w:val="0"/>
                <w:szCs w:val="21"/>
                <w:lang w:eastAsia="zh-Hans" w:bidi="ar"/>
              </w:rPr>
              <w:t>.25%</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686" w:hRule="atLeast"/>
          <w:jc w:val="center"/>
        </w:trPr>
        <w:tc>
          <w:tcPr>
            <w:tcW w:w="0" w:type="pct"/>
            <w:noWrap/>
            <w:vAlign w:val="center"/>
          </w:tcPr>
          <w:p>
            <w:pPr>
              <w:widowControl/>
              <w:spacing w:line="360" w:lineRule="auto"/>
              <w:textAlignment w:val="center"/>
              <w:rPr>
                <w:rFonts w:ascii="Times New Roman" w:hAnsi="Times New Roman" w:eastAsia="宋体" w:cs="Times New Roman"/>
                <w:b/>
                <w:bCs/>
                <w:color w:val="000000"/>
                <w:kern w:val="0"/>
                <w:szCs w:val="21"/>
                <w:lang w:eastAsia="zh-Hans" w:bidi="ar"/>
              </w:rPr>
            </w:pPr>
            <w:r>
              <w:rPr>
                <w:rFonts w:hint="eastAsia" w:ascii="Times New Roman" w:hAnsi="Times New Roman" w:eastAsia="宋体" w:cs="Times New Roman"/>
                <w:b/>
                <w:bCs/>
                <w:color w:val="000000"/>
                <w:kern w:val="0"/>
                <w:szCs w:val="21"/>
                <w:lang w:eastAsia="zh-Hans" w:bidi="ar"/>
              </w:rPr>
              <w:t>绿色信贷余额占比</w:t>
            </w:r>
          </w:p>
        </w:tc>
        <w:tc>
          <w:tcPr>
            <w:tcW w:w="0" w:type="pct"/>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eastAsia="zh-Hans" w:bidi="ar"/>
              </w:rPr>
              <w:t>1.28%</w:t>
            </w:r>
          </w:p>
        </w:tc>
        <w:tc>
          <w:tcPr>
            <w:tcW w:w="0" w:type="pct"/>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eastAsia="zh-Hans" w:bidi="ar"/>
              </w:rPr>
              <w:t>.58%</w:t>
            </w:r>
          </w:p>
        </w:tc>
        <w:tc>
          <w:tcPr>
            <w:tcW w:w="0" w:type="pct"/>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0</w:t>
            </w:r>
            <w:r>
              <w:rPr>
                <w:rFonts w:ascii="Times New Roman" w:hAnsi="Times New Roman" w:eastAsia="宋体" w:cs="Times New Roman"/>
                <w:color w:val="000000"/>
                <w:kern w:val="0"/>
                <w:szCs w:val="21"/>
                <w:lang w:eastAsia="zh-Hans" w:bidi="ar"/>
              </w:rPr>
              <w:t>.30%</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707" w:hRule="atLeast"/>
          <w:jc w:val="center"/>
        </w:trPr>
        <w:tc>
          <w:tcPr>
            <w:tcW w:w="0" w:type="pct"/>
            <w:shd w:val="clear" w:color="auto" w:fill="DEEAF6" w:themeFill="accent5" w:themeFillTint="33"/>
            <w:noWrap/>
            <w:vAlign w:val="center"/>
          </w:tcPr>
          <w:p>
            <w:pPr>
              <w:widowControl/>
              <w:spacing w:line="360" w:lineRule="auto"/>
              <w:textAlignment w:val="center"/>
              <w:rPr>
                <w:rFonts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持有绿色债券余额</w:t>
            </w:r>
          </w:p>
        </w:tc>
        <w:tc>
          <w:tcPr>
            <w:tcW w:w="0" w:type="pct"/>
            <w:shd w:val="clear" w:color="auto" w:fill="DEEAF6" w:themeFill="accent5" w:themeFillTint="33"/>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eastAsia="zh-Hans" w:bidi="ar"/>
              </w:rPr>
              <w:t>5.70</w:t>
            </w:r>
          </w:p>
        </w:tc>
        <w:tc>
          <w:tcPr>
            <w:tcW w:w="0" w:type="pct"/>
            <w:shd w:val="clear" w:color="auto" w:fill="DEEAF6" w:themeFill="accent5" w:themeFillTint="33"/>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eastAsia="zh-Hans" w:bidi="ar"/>
              </w:rPr>
              <w:t>.79</w:t>
            </w:r>
          </w:p>
        </w:tc>
        <w:tc>
          <w:tcPr>
            <w:tcW w:w="0" w:type="pct"/>
            <w:shd w:val="clear" w:color="auto" w:fill="DEEAF6" w:themeFill="accent5" w:themeFillTint="33"/>
            <w:noWrap/>
            <w:vAlign w:val="center"/>
          </w:tcPr>
          <w:p>
            <w:pPr>
              <w:spacing w:line="360" w:lineRule="auto"/>
              <w:jc w:val="center"/>
              <w:rPr>
                <w:rFonts w:ascii="Times New Roman" w:hAnsi="Times New Roman" w:eastAsia="宋体" w:cs="Times New Roman"/>
                <w:color w:val="000000"/>
                <w:kern w:val="0"/>
                <w:szCs w:val="21"/>
                <w:lang w:eastAsia="zh-Hans" w:bidi="ar"/>
              </w:rPr>
            </w:pPr>
            <w:r>
              <w:rPr>
                <w:rFonts w:ascii="Times New Roman" w:hAnsi="Times New Roman" w:eastAsia="宋体" w:cs="Times New Roman"/>
                <w:color w:val="000000"/>
                <w:kern w:val="0"/>
                <w:szCs w:val="21"/>
                <w:lang w:bidi="ar"/>
              </w:rPr>
              <w:t>-68</w:t>
            </w:r>
            <w:r>
              <w:rPr>
                <w:rFonts w:ascii="Times New Roman" w:hAnsi="Times New Roman" w:eastAsia="宋体" w:cs="Times New Roman"/>
                <w:color w:val="000000"/>
                <w:kern w:val="0"/>
                <w:szCs w:val="21"/>
                <w:lang w:eastAsia="zh-Hans" w:bidi="ar"/>
              </w:rPr>
              <w:t>.60%</w:t>
            </w:r>
          </w:p>
        </w:tc>
      </w:tr>
    </w:tbl>
    <w:p>
      <w:pPr>
        <w:numPr>
          <w:ilvl w:val="0"/>
          <w:numId w:val="11"/>
        </w:numPr>
        <w:spacing w:before="40" w:after="40" w:line="360" w:lineRule="auto"/>
        <w:rPr>
          <w:rFonts w:ascii="Times New Roman" w:hAnsi="Times New Roman" w:cs="黑体"/>
          <w:bCs/>
          <w:color w:val="2E75B6" w:themeColor="accent5" w:themeShade="BF"/>
        </w:rPr>
      </w:pPr>
      <w:r>
        <w:rPr>
          <w:rFonts w:hint="eastAsia" w:ascii="Times New Roman" w:hAnsi="Times New Roman" w:eastAsia="黑体" w:cs="黑体"/>
          <w:b/>
          <w:bCs/>
          <w:color w:val="2E75B6" w:themeColor="accent5" w:themeShade="BF"/>
          <w:sz w:val="24"/>
          <w:szCs w:val="24"/>
        </w:rPr>
        <w:t>绿色信贷投放情况</w:t>
      </w:r>
      <w:bookmarkEnd w:id="181"/>
      <w:bookmarkEnd w:id="182"/>
      <w:bookmarkEnd w:id="183"/>
      <w:bookmarkEnd w:id="184"/>
      <w:bookmarkEnd w:id="185"/>
    </w:p>
    <w:p>
      <w:pPr>
        <w:pStyle w:val="8"/>
        <w:spacing w:line="360" w:lineRule="auto"/>
        <w:ind w:firstLine="480"/>
        <w:rPr>
          <w:rFonts w:ascii="Times New Roman" w:hAnsi="Times New Roman" w:eastAsia="宋体" w:cs="宋体"/>
          <w:color w:val="385723" w:themeColor="accent6" w:themeShade="80"/>
          <w:sz w:val="24"/>
          <w:szCs w:val="24"/>
          <w:lang w:eastAsia="zh-Hans"/>
        </w:rPr>
      </w:pPr>
      <w:r>
        <w:rPr>
          <w:rFonts w:hint="eastAsia" w:ascii="Times New Roman" w:hAnsi="Times New Roman" w:eastAsia="宋体" w:cs="宋体"/>
          <w:sz w:val="24"/>
          <w:szCs w:val="24"/>
          <w:lang w:eastAsia="zh-Hans"/>
        </w:rPr>
        <w:t>本行积极响应国家“碳达峰、碳中和”战略，持续完善绿色金融发展服务体系，加大贷款投放力度支持“绿色”领域，确保绿色信贷增速不低于同期各项贷款增速，截至</w:t>
      </w:r>
      <w:r>
        <w:rPr>
          <w:rFonts w:ascii="Times New Roman" w:hAnsi="Times New Roman" w:eastAsia="宋体" w:cs="宋体"/>
          <w:sz w:val="24"/>
          <w:szCs w:val="24"/>
          <w:lang w:eastAsia="zh-Hans"/>
        </w:rPr>
        <w:t>2022</w:t>
      </w:r>
      <w:r>
        <w:rPr>
          <w:rFonts w:hint="eastAsia" w:ascii="Times New Roman" w:hAnsi="Times New Roman" w:eastAsia="宋体" w:cs="宋体"/>
          <w:sz w:val="24"/>
          <w:szCs w:val="24"/>
          <w:lang w:eastAsia="zh-Hans"/>
        </w:rPr>
        <w:t>年末，本行共向</w:t>
      </w:r>
      <w:r>
        <w:rPr>
          <w:rFonts w:ascii="Times New Roman" w:hAnsi="Times New Roman" w:eastAsia="宋体" w:cs="宋体"/>
          <w:sz w:val="24"/>
          <w:szCs w:val="24"/>
          <w:lang w:eastAsia="zh-Hans"/>
        </w:rPr>
        <w:t>21</w:t>
      </w:r>
      <w:r>
        <w:rPr>
          <w:rFonts w:hint="eastAsia" w:ascii="Times New Roman" w:hAnsi="Times New Roman" w:eastAsia="宋体" w:cs="宋体"/>
          <w:sz w:val="24"/>
          <w:szCs w:val="24"/>
          <w:lang w:eastAsia="zh-Hans"/>
        </w:rPr>
        <w:t>家企业发放绿色贷款</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贷款余额共计</w:t>
      </w:r>
      <w:r>
        <w:rPr>
          <w:rFonts w:ascii="Times New Roman" w:hAnsi="Times New Roman" w:eastAsia="宋体" w:cs="宋体"/>
          <w:sz w:val="24"/>
          <w:szCs w:val="24"/>
          <w:lang w:eastAsia="zh-Hans"/>
        </w:rPr>
        <w:t>11.22</w:t>
      </w:r>
      <w:r>
        <w:rPr>
          <w:rFonts w:hint="eastAsia" w:ascii="Times New Roman" w:hAnsi="Times New Roman" w:eastAsia="宋体" w:cs="宋体"/>
          <w:sz w:val="24"/>
          <w:szCs w:val="24"/>
          <w:lang w:eastAsia="zh-Hans"/>
        </w:rPr>
        <w:t>亿元。根据人民银行绿色贷款专项统计制度</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Hans"/>
        </w:rPr>
        <w:t>按贷款用途分类，主要投向基础设施绿色升级</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贷款余额</w:t>
      </w:r>
      <w:r>
        <w:rPr>
          <w:rFonts w:ascii="Times New Roman" w:hAnsi="Times New Roman" w:eastAsia="宋体" w:cs="宋体"/>
          <w:sz w:val="24"/>
          <w:szCs w:val="24"/>
          <w:lang w:eastAsia="zh-Hans"/>
        </w:rPr>
        <w:t>7.99</w:t>
      </w:r>
      <w:r>
        <w:rPr>
          <w:rFonts w:hint="eastAsia" w:ascii="Times New Roman" w:hAnsi="Times New Roman" w:eastAsia="宋体" w:cs="宋体"/>
          <w:sz w:val="24"/>
          <w:szCs w:val="24"/>
          <w:lang w:eastAsia="zh-Hans"/>
        </w:rPr>
        <w:t>亿元</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占比</w:t>
      </w:r>
      <w:r>
        <w:rPr>
          <w:rFonts w:ascii="Times New Roman" w:hAnsi="Times New Roman" w:eastAsia="宋体" w:cs="宋体"/>
          <w:sz w:val="24"/>
          <w:szCs w:val="24"/>
          <w:lang w:eastAsia="zh-Hans"/>
        </w:rPr>
        <w:t>71.26%）</w:t>
      </w:r>
      <w:r>
        <w:rPr>
          <w:rFonts w:hint="eastAsia" w:ascii="Times New Roman" w:hAnsi="Times New Roman" w:eastAsia="宋体" w:cs="宋体"/>
          <w:sz w:val="24"/>
          <w:szCs w:val="24"/>
          <w:lang w:eastAsia="zh-Hans"/>
        </w:rPr>
        <w:t>、节能环保产业</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贷款余额</w:t>
      </w:r>
      <w:r>
        <w:rPr>
          <w:rFonts w:ascii="Times New Roman" w:hAnsi="Times New Roman" w:eastAsia="宋体" w:cs="宋体"/>
          <w:sz w:val="24"/>
          <w:szCs w:val="24"/>
          <w:lang w:eastAsia="zh-Hans"/>
        </w:rPr>
        <w:t>2.67</w:t>
      </w:r>
      <w:r>
        <w:rPr>
          <w:rFonts w:hint="eastAsia" w:ascii="Times New Roman" w:hAnsi="Times New Roman" w:eastAsia="宋体" w:cs="宋体"/>
          <w:sz w:val="24"/>
          <w:szCs w:val="24"/>
          <w:lang w:eastAsia="zh-Hans"/>
        </w:rPr>
        <w:t>亿元</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占比</w:t>
      </w:r>
      <w:r>
        <w:rPr>
          <w:rFonts w:ascii="Times New Roman" w:hAnsi="Times New Roman" w:eastAsia="宋体" w:cs="宋体"/>
          <w:sz w:val="24"/>
          <w:szCs w:val="24"/>
          <w:lang w:eastAsia="zh-Hans"/>
        </w:rPr>
        <w:t>23.80%）、</w:t>
      </w:r>
      <w:r>
        <w:rPr>
          <w:rFonts w:hint="eastAsia" w:ascii="Times New Roman" w:hAnsi="Times New Roman" w:eastAsia="宋体" w:cs="宋体"/>
          <w:sz w:val="24"/>
          <w:szCs w:val="24"/>
          <w:lang w:eastAsia="zh-Hans"/>
        </w:rPr>
        <w:t>清洁生产产业</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贷款余额</w:t>
      </w:r>
      <w:r>
        <w:rPr>
          <w:rFonts w:ascii="Times New Roman" w:hAnsi="Times New Roman" w:eastAsia="宋体" w:cs="宋体"/>
          <w:sz w:val="24"/>
          <w:szCs w:val="24"/>
          <w:lang w:eastAsia="zh-Hans"/>
        </w:rPr>
        <w:t>0.53</w:t>
      </w:r>
      <w:r>
        <w:rPr>
          <w:rFonts w:hint="eastAsia" w:ascii="Times New Roman" w:hAnsi="Times New Roman" w:eastAsia="宋体" w:cs="宋体"/>
          <w:sz w:val="24"/>
          <w:szCs w:val="24"/>
          <w:lang w:eastAsia="zh-Hans"/>
        </w:rPr>
        <w:t>亿元</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占比</w:t>
      </w:r>
      <w:r>
        <w:rPr>
          <w:rFonts w:ascii="Times New Roman" w:hAnsi="Times New Roman" w:eastAsia="宋体" w:cs="宋体"/>
          <w:sz w:val="24"/>
          <w:szCs w:val="24"/>
          <w:lang w:eastAsia="zh-Hans"/>
        </w:rPr>
        <w:t>4.76%）、</w:t>
      </w:r>
      <w:r>
        <w:rPr>
          <w:rFonts w:hint="eastAsia" w:ascii="Times New Roman" w:hAnsi="Times New Roman" w:eastAsia="宋体" w:cs="宋体"/>
          <w:sz w:val="24"/>
          <w:szCs w:val="24"/>
          <w:lang w:eastAsia="zh-Hans"/>
        </w:rPr>
        <w:t>清洁能源产业</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贷款余额</w:t>
      </w:r>
      <w:r>
        <w:rPr>
          <w:rFonts w:ascii="Times New Roman" w:hAnsi="Times New Roman" w:eastAsia="宋体" w:cs="宋体"/>
          <w:sz w:val="24"/>
          <w:szCs w:val="24"/>
          <w:lang w:eastAsia="zh-Hans"/>
        </w:rPr>
        <w:t>0.0185</w:t>
      </w:r>
      <w:r>
        <w:rPr>
          <w:rFonts w:hint="eastAsia" w:ascii="Times New Roman" w:hAnsi="Times New Roman" w:eastAsia="宋体" w:cs="宋体"/>
          <w:sz w:val="24"/>
          <w:szCs w:val="24"/>
          <w:lang w:eastAsia="zh-Hans"/>
        </w:rPr>
        <w:t>亿元</w:t>
      </w:r>
      <w:r>
        <w:rPr>
          <w:rFonts w:ascii="Times New Roman" w:hAnsi="Times New Roman" w:eastAsia="宋体" w:cs="宋体"/>
          <w:sz w:val="24"/>
          <w:szCs w:val="24"/>
          <w:lang w:eastAsia="zh-Hans"/>
        </w:rPr>
        <w:t>，</w:t>
      </w:r>
      <w:r>
        <w:rPr>
          <w:rFonts w:hint="eastAsia" w:ascii="Times New Roman" w:hAnsi="Times New Roman" w:eastAsia="宋体" w:cs="宋体"/>
          <w:sz w:val="24"/>
          <w:szCs w:val="24"/>
          <w:lang w:eastAsia="zh-Hans"/>
        </w:rPr>
        <w:t>占比</w:t>
      </w:r>
      <w:r>
        <w:rPr>
          <w:rFonts w:ascii="Times New Roman" w:hAnsi="Times New Roman" w:eastAsia="宋体" w:cs="宋体"/>
          <w:sz w:val="24"/>
          <w:szCs w:val="24"/>
          <w:lang w:eastAsia="zh-Hans"/>
        </w:rPr>
        <w:t>0.16%）</w:t>
      </w:r>
      <w:r>
        <w:rPr>
          <w:rFonts w:hint="eastAsia" w:ascii="Times New Roman" w:hAnsi="Times New Roman" w:eastAsia="宋体" w:cs="宋体"/>
          <w:sz w:val="24"/>
          <w:szCs w:val="24"/>
          <w:lang w:eastAsia="zh-Hans"/>
        </w:rPr>
        <w:t>。主要支持城市固体废弃物、污水处置和综合利用等项目建设运营，维护城市环境卫生，推动地区生态环境保护与经济发展协调发展。</w:t>
      </w:r>
    </w:p>
    <w:p>
      <w:pPr>
        <w:spacing w:line="360" w:lineRule="auto"/>
        <w:ind w:firstLine="420" w:firstLineChars="200"/>
        <w:jc w:val="center"/>
        <w:rPr>
          <w:rFonts w:ascii="Times New Roman" w:hAnsi="Times New Roman" w:eastAsia="宋体" w:cs="宋体"/>
          <w:color w:val="385723" w:themeColor="accent6" w:themeShade="80"/>
          <w:sz w:val="24"/>
          <w:szCs w:val="24"/>
          <w:lang w:eastAsia="zh-Hans"/>
        </w:rPr>
      </w:pPr>
      <w:r>
        <w:rPr>
          <w:rFonts w:ascii="Times New Roman" w:hAnsi="Times New Roman"/>
        </w:rPr>
        <w:drawing>
          <wp:inline distT="0" distB="0" distL="114300" distR="114300">
            <wp:extent cx="4163695" cy="3310255"/>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3"/>
                    <a:stretch>
                      <a:fillRect/>
                    </a:stretch>
                  </pic:blipFill>
                  <pic:spPr>
                    <a:xfrm>
                      <a:off x="0" y="0"/>
                      <a:ext cx="4163695" cy="3310255"/>
                    </a:xfrm>
                    <a:prstGeom prst="rect">
                      <a:avLst/>
                    </a:prstGeom>
                    <a:noFill/>
                    <a:ln>
                      <a:noFill/>
                    </a:ln>
                  </pic:spPr>
                </pic:pic>
              </a:graphicData>
            </a:graphic>
          </wp:inline>
        </w:drawing>
      </w:r>
    </w:p>
    <w:p>
      <w:pPr>
        <w:widowControl/>
        <w:spacing w:line="360" w:lineRule="auto"/>
        <w:jc w:val="center"/>
        <w:rPr>
          <w:rFonts w:hint="eastAsia" w:ascii="Times New Roman" w:hAnsi="Times New Roman" w:eastAsia="黑体"/>
          <w:color w:val="000000"/>
          <w:kern w:val="0"/>
          <w:szCs w:val="21"/>
        </w:rPr>
      </w:pPr>
      <w:r>
        <w:rPr>
          <w:rFonts w:hint="eastAsia" w:ascii="Times New Roman" w:hAnsi="Times New Roman" w:eastAsia="黑体"/>
          <w:color w:val="000000"/>
          <w:kern w:val="0"/>
          <w:szCs w:val="21"/>
        </w:rPr>
        <w:t>图</w:t>
      </w:r>
      <w:r>
        <w:rPr>
          <w:rFonts w:ascii="Times New Roman" w:hAnsi="Times New Roman" w:eastAsia="黑体"/>
          <w:color w:val="000000"/>
          <w:kern w:val="0"/>
          <w:szCs w:val="21"/>
        </w:rPr>
        <w:t>7-1</w:t>
      </w:r>
      <w:r>
        <w:rPr>
          <w:rFonts w:hint="eastAsia" w:ascii="Times New Roman" w:hAnsi="Times New Roman" w:eastAsia="黑体"/>
          <w:color w:val="000000"/>
          <w:kern w:val="0"/>
          <w:szCs w:val="21"/>
        </w:rPr>
        <w:t>：江门农商银行</w:t>
      </w:r>
      <w:r>
        <w:rPr>
          <w:rFonts w:ascii="Times New Roman" w:hAnsi="Times New Roman" w:eastAsia="黑体"/>
          <w:color w:val="000000"/>
          <w:kern w:val="0"/>
          <w:szCs w:val="21"/>
        </w:rPr>
        <w:t>2022</w:t>
      </w:r>
      <w:r>
        <w:rPr>
          <w:rFonts w:hint="eastAsia" w:ascii="Times New Roman" w:hAnsi="Times New Roman" w:eastAsia="黑体"/>
          <w:color w:val="000000"/>
          <w:kern w:val="0"/>
          <w:szCs w:val="21"/>
        </w:rPr>
        <w:t>年绿色信贷投向行业占比</w:t>
      </w:r>
    </w:p>
    <w:p>
      <w:pPr>
        <w:numPr>
          <w:ilvl w:val="0"/>
          <w:numId w:val="11"/>
        </w:numPr>
        <w:spacing w:before="40" w:after="40" w:line="360" w:lineRule="auto"/>
        <w:rPr>
          <w:rFonts w:ascii="Times New Roman" w:hAnsi="Times New Roman" w:cs="黑体"/>
          <w:bCs/>
          <w:color w:val="2E75B6" w:themeColor="accent5" w:themeShade="BF"/>
        </w:rPr>
      </w:pPr>
      <w:r>
        <w:rPr>
          <w:rFonts w:hint="eastAsia" w:ascii="Times New Roman" w:hAnsi="Times New Roman" w:eastAsia="黑体" w:cs="黑体"/>
          <w:b/>
          <w:bCs/>
          <w:color w:val="2E75B6" w:themeColor="accent5" w:themeShade="BF"/>
          <w:sz w:val="24"/>
          <w:szCs w:val="24"/>
        </w:rPr>
        <w:t>持有绿色债券情况</w:t>
      </w:r>
    </w:p>
    <w:p>
      <w:pPr>
        <w:spacing w:line="360" w:lineRule="auto"/>
        <w:ind w:firstLine="480" w:firstLineChars="200"/>
        <w:rPr>
          <w:rFonts w:ascii="Times New Roman" w:hAnsi="Times New Roman" w:eastAsia="宋体" w:cs="宋体"/>
          <w:sz w:val="24"/>
          <w:szCs w:val="24"/>
          <w:lang w:eastAsia="zh-Hans"/>
        </w:rPr>
      </w:pPr>
      <w:r>
        <w:rPr>
          <w:rFonts w:hint="eastAsia" w:ascii="Times New Roman" w:hAnsi="Times New Roman" w:eastAsia="宋体" w:cs="宋体"/>
          <w:sz w:val="24"/>
          <w:szCs w:val="24"/>
          <w:lang w:eastAsia="zh-Hans"/>
        </w:rPr>
        <w:t>本行积极投资绿色金融债、非金融企业绿色融资债券等绿色债券，截至2022年末，本行共计持有5支绿色金融债券，票面金额为</w:t>
      </w:r>
      <w:r>
        <w:rPr>
          <w:rFonts w:ascii="Times New Roman" w:hAnsi="Times New Roman" w:eastAsia="宋体" w:cs="宋体"/>
          <w:sz w:val="24"/>
          <w:szCs w:val="24"/>
          <w:lang w:eastAsia="zh-Hans"/>
        </w:rPr>
        <w:t>1.80</w:t>
      </w:r>
      <w:r>
        <w:rPr>
          <w:rFonts w:hint="eastAsia" w:ascii="Times New Roman" w:hAnsi="Times New Roman" w:eastAsia="宋体" w:cs="宋体"/>
          <w:sz w:val="24"/>
          <w:szCs w:val="24"/>
          <w:lang w:eastAsia="zh-Hans"/>
        </w:rPr>
        <w:t>亿元。</w:t>
      </w:r>
    </w:p>
    <w:p>
      <w:pPr>
        <w:pStyle w:val="2"/>
        <w:spacing w:line="360" w:lineRule="auto"/>
        <w:ind w:left="0" w:leftChars="0" w:firstLine="0" w:firstLineChars="0"/>
        <w:jc w:val="center"/>
        <w:rPr>
          <w:rFonts w:hint="default" w:ascii="Times New Roman" w:hAnsi="Times New Roman" w:eastAsia="黑体" w:cs="宋体"/>
        </w:rPr>
      </w:pPr>
      <w:r>
        <w:rPr>
          <w:rFonts w:hint="default" w:ascii="Times New Roman" w:hAnsi="Times New Roman" w:eastAsia="黑体" w:cs="宋体"/>
        </w:rPr>
        <w:t>表7-2：江门农商银行</w:t>
      </w:r>
      <w:r>
        <w:rPr>
          <w:rFonts w:ascii="Times New Roman" w:hAnsi="Times New Roman" w:eastAsia="黑体" w:cs="宋体"/>
        </w:rPr>
        <w:t>绿色债券投资情况</w:t>
      </w:r>
    </w:p>
    <w:tbl>
      <w:tblPr>
        <w:tblStyle w:val="70"/>
        <w:tblW w:w="5000" w:type="pct"/>
        <w:jc w:val="cente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2229"/>
        <w:gridCol w:w="1936"/>
        <w:gridCol w:w="2009"/>
        <w:gridCol w:w="2348"/>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noWrap/>
            <w:vAlign w:val="center"/>
          </w:tcPr>
          <w:p>
            <w:pPr>
              <w:widowControl/>
              <w:spacing w:line="360" w:lineRule="auto"/>
              <w:rPr>
                <w:rFonts w:ascii="Times New Roman" w:hAnsi="Times New Roman" w:eastAsia="宋体"/>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kern w:val="0"/>
                <w:szCs w:val="21"/>
                <w14:textFill>
                  <w14:solidFill>
                    <w14:schemeClr w14:val="bg1"/>
                  </w14:solidFill>
                </w14:textFill>
              </w:rPr>
              <w:t>债券</w:t>
            </w:r>
            <w:r>
              <w:rPr>
                <w:rFonts w:hint="eastAsia" w:ascii="Times New Roman" w:hAnsi="Times New Roman" w:eastAsia="宋体" w:cs="宋体"/>
                <w:b/>
                <w:bCs/>
                <w:color w:val="FFFFFF" w:themeColor="background1"/>
                <w:kern w:val="0"/>
                <w:szCs w:val="21"/>
                <w14:textFill>
                  <w14:solidFill>
                    <w14:schemeClr w14:val="bg1"/>
                  </w14:solidFill>
                </w14:textFill>
              </w:rPr>
              <w:t>名称</w:t>
            </w:r>
          </w:p>
        </w:tc>
        <w:tc>
          <w:tcPr>
            <w:tcW w:w="1135" w:type="pct"/>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widowControl/>
              <w:spacing w:line="360" w:lineRule="auto"/>
              <w:rPr>
                <w:rFonts w:ascii="Times New Roman" w:hAnsi="Times New Roman" w:eastAsia="宋体"/>
                <w:b/>
                <w:bCs/>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kern w:val="0"/>
                <w:szCs w:val="21"/>
                <w14:textFill>
                  <w14:solidFill>
                    <w14:schemeClr w14:val="bg1"/>
                  </w14:solidFill>
                </w14:textFill>
              </w:rPr>
              <w:t>票面金额</w:t>
            </w:r>
            <w:r>
              <w:rPr>
                <w:rFonts w:ascii="Times New Roman" w:hAnsi="Times New Roman" w:eastAsia="宋体" w:cs="Times New Roman"/>
                <w:b/>
                <w:bCs/>
                <w:color w:val="FFFFFF" w:themeColor="background1"/>
                <w:kern w:val="0"/>
                <w:szCs w:val="21"/>
                <w14:textFill>
                  <w14:solidFill>
                    <w14:schemeClr w14:val="bg1"/>
                  </w14:solidFill>
                </w14:textFill>
              </w:rPr>
              <w:t>（</w:t>
            </w:r>
            <w:r>
              <w:rPr>
                <w:rFonts w:hint="eastAsia" w:ascii="Times New Roman" w:hAnsi="Times New Roman" w:eastAsia="宋体" w:cs="Times New Roman"/>
                <w:b/>
                <w:bCs/>
                <w:color w:val="FFFFFF" w:themeColor="background1"/>
                <w:kern w:val="0"/>
                <w:szCs w:val="21"/>
                <w14:textFill>
                  <w14:solidFill>
                    <w14:schemeClr w14:val="bg1"/>
                  </w14:solidFill>
                </w14:textFill>
              </w:rPr>
              <w:t>万</w:t>
            </w:r>
            <w:r>
              <w:rPr>
                <w:rFonts w:ascii="Times New Roman" w:hAnsi="Times New Roman" w:eastAsia="宋体" w:cs="Times New Roman"/>
                <w:b/>
                <w:bCs/>
                <w:color w:val="FFFFFF" w:themeColor="background1"/>
                <w:kern w:val="0"/>
                <w:szCs w:val="21"/>
                <w14:textFill>
                  <w14:solidFill>
                    <w14:schemeClr w14:val="bg1"/>
                  </w14:solidFill>
                </w14:textFill>
              </w:rPr>
              <w:t>元）</w:t>
            </w:r>
          </w:p>
        </w:tc>
        <w:tc>
          <w:tcPr>
            <w:tcW w:w="1178" w:type="pct"/>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widowControl/>
              <w:spacing w:line="360" w:lineRule="auto"/>
              <w:rPr>
                <w:rFonts w:ascii="Times New Roman" w:hAnsi="Times New Roman" w:eastAsia="宋体"/>
                <w:b/>
                <w:bCs/>
                <w:color w:val="FFFFFF" w:themeColor="background1"/>
                <w:szCs w:val="21"/>
                <w14:textFill>
                  <w14:solidFill>
                    <w14:schemeClr w14:val="bg1"/>
                  </w14:solidFill>
                </w14:textFill>
              </w:rPr>
            </w:pPr>
            <w:r>
              <w:rPr>
                <w:rFonts w:hint="eastAsia" w:ascii="Times New Roman" w:hAnsi="Times New Roman" w:eastAsia="宋体"/>
                <w:b/>
                <w:bCs/>
                <w:color w:val="FFFFFF" w:themeColor="background1"/>
                <w:szCs w:val="21"/>
                <w14:textFill>
                  <w14:solidFill>
                    <w14:schemeClr w14:val="bg1"/>
                  </w14:solidFill>
                </w14:textFill>
              </w:rPr>
              <w:t>所投债券主要支持项目内容</w:t>
            </w:r>
          </w:p>
        </w:tc>
        <w:tc>
          <w:tcPr>
            <w:tcW w:w="1377" w:type="pct"/>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rPr>
                <w:rFonts w:ascii="Times New Roman" w:hAnsi="Times New Roman" w:eastAsia="宋体"/>
                <w:b/>
                <w:bCs/>
                <w:color w:val="FFFFFF" w:themeColor="background1"/>
                <w:szCs w:val="21"/>
                <w14:textFill>
                  <w14:solidFill>
                    <w14:schemeClr w14:val="bg1"/>
                  </w14:solidFill>
                </w14:textFill>
              </w:rPr>
            </w:pPr>
            <w:r>
              <w:rPr>
                <w:rFonts w:hint="eastAsia" w:ascii="Times New Roman" w:hAnsi="Times New Roman" w:eastAsia="宋体"/>
                <w:b/>
                <w:bCs/>
                <w:color w:val="FFFFFF" w:themeColor="background1"/>
                <w:szCs w:val="21"/>
                <w14:textFill>
                  <w14:solidFill>
                    <w14:schemeClr w14:val="bg1"/>
                  </w14:solidFill>
                </w14:textFill>
              </w:rPr>
              <w:t>主要环境效益</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shd w:val="clear" w:color="auto" w:fill="DEEAF6" w:themeFill="accent5" w:themeFillTint="33"/>
            <w:noWrap/>
            <w:vAlign w:val="center"/>
          </w:tcPr>
          <w:p>
            <w:pPr>
              <w:widowControl/>
              <w:spacing w:line="360" w:lineRule="auto"/>
              <w:rPr>
                <w:rFonts w:ascii="Times New Roman" w:hAnsi="Times New Roman" w:eastAsia="宋体" w:cs="Times New Roman"/>
                <w:b/>
                <w:bCs/>
                <w:color w:val="000000"/>
                <w:kern w:val="0"/>
                <w:szCs w:val="21"/>
              </w:rPr>
            </w:pPr>
            <w:r>
              <w:rPr>
                <w:rFonts w:ascii="Times New Roman" w:hAnsi="Times New Roman" w:eastAsia="宋体"/>
                <w:b/>
                <w:bCs/>
                <w:color w:val="000000"/>
                <w:szCs w:val="21"/>
              </w:rPr>
              <w:t>21浦银租赁绿色债</w:t>
            </w:r>
          </w:p>
        </w:tc>
        <w:tc>
          <w:tcPr>
            <w:tcW w:w="1135" w:type="pct"/>
            <w:shd w:val="clear" w:color="auto" w:fill="DEEAF6" w:themeFill="accent5" w:themeFillTint="33"/>
            <w:vAlign w:val="center"/>
          </w:tcPr>
          <w:p>
            <w:pPr>
              <w:widowControl/>
              <w:spacing w:line="360" w:lineRule="auto"/>
              <w:jc w:val="center"/>
              <w:rPr>
                <w:rFonts w:ascii="Times New Roman" w:hAnsi="Times New Roman" w:eastAsia="宋体" w:cs="Times New Roman"/>
                <w:color w:val="000000"/>
                <w:kern w:val="0"/>
                <w:szCs w:val="21"/>
              </w:rPr>
            </w:pPr>
            <w:r>
              <w:rPr>
                <w:rFonts w:ascii="Times New Roman" w:hAnsi="Times New Roman" w:eastAsia="宋体"/>
                <w:color w:val="000000"/>
                <w:szCs w:val="21"/>
              </w:rPr>
              <w:t>5,000</w:t>
            </w:r>
          </w:p>
        </w:tc>
        <w:tc>
          <w:tcPr>
            <w:tcW w:w="1178" w:type="pct"/>
            <w:shd w:val="clear" w:color="auto" w:fill="DEEAF6" w:themeFill="accent5" w:themeFillTint="33"/>
            <w:vAlign w:val="center"/>
          </w:tcPr>
          <w:p>
            <w:pPr>
              <w:widowControl/>
              <w:spacing w:line="360" w:lineRule="auto"/>
              <w:rPr>
                <w:rFonts w:ascii="Times New Roman" w:hAnsi="Times New Roman" w:eastAsia="宋体"/>
                <w:color w:val="000000"/>
                <w:szCs w:val="21"/>
              </w:rPr>
            </w:pPr>
            <w:r>
              <w:rPr>
                <w:rFonts w:hint="eastAsia" w:ascii="Times New Roman" w:hAnsi="Times New Roman" w:eastAsia="宋体"/>
                <w:color w:val="000000"/>
                <w:szCs w:val="21"/>
              </w:rPr>
              <w:t>风力发电、光伏发电、轨道交通等租赁项目等</w:t>
            </w:r>
          </w:p>
        </w:tc>
        <w:tc>
          <w:tcPr>
            <w:tcW w:w="1377" w:type="pct"/>
            <w:shd w:val="clear" w:color="auto" w:fill="DEEAF6" w:themeFill="accent5" w:themeFillTint="33"/>
            <w:vAlign w:val="center"/>
          </w:tcPr>
          <w:p>
            <w:pPr>
              <w:spacing w:line="360" w:lineRule="auto"/>
              <w:rPr>
                <w:rFonts w:ascii="Times New Roman" w:hAnsi="Times New Roman" w:eastAsia="宋体"/>
                <w:color w:val="000000"/>
                <w:szCs w:val="21"/>
              </w:rPr>
            </w:pPr>
            <w:r>
              <w:rPr>
                <w:rFonts w:hint="eastAsia" w:ascii="Times New Roman" w:hAnsi="Times New Roman" w:eastAsia="宋体"/>
                <w:szCs w:val="21"/>
              </w:rPr>
              <w:t>年约节约标准煤</w:t>
            </w:r>
            <w:r>
              <w:rPr>
                <w:rFonts w:ascii="Times New Roman" w:hAnsi="Times New Roman" w:eastAsia="宋体"/>
                <w:szCs w:val="21"/>
              </w:rPr>
              <w:t>22万吨，</w:t>
            </w:r>
            <w:r>
              <w:rPr>
                <w:rFonts w:hint="eastAsia" w:ascii="Times New Roman" w:hAnsi="Times New Roman" w:eastAsia="宋体"/>
                <w:szCs w:val="21"/>
              </w:rPr>
              <w:t>减排二氧化碳</w:t>
            </w:r>
            <w:r>
              <w:rPr>
                <w:rFonts w:ascii="Times New Roman" w:hAnsi="Times New Roman" w:eastAsia="宋体"/>
                <w:szCs w:val="21"/>
              </w:rPr>
              <w:t>48万吨，减排二氧化硫2</w:t>
            </w:r>
            <w:r>
              <w:rPr>
                <w:rFonts w:hint="eastAsia" w:ascii="Times New Roman" w:hAnsi="Times New Roman" w:eastAsia="宋体"/>
                <w:szCs w:val="21"/>
                <w:lang w:val="en-US" w:eastAsia="zh-CN"/>
              </w:rPr>
              <w:t>,</w:t>
            </w:r>
            <w:r>
              <w:rPr>
                <w:rFonts w:ascii="Times New Roman" w:hAnsi="Times New Roman" w:eastAsia="宋体"/>
                <w:szCs w:val="21"/>
              </w:rPr>
              <w:t>000吨，减排氮氧化物320吨</w:t>
            </w:r>
            <w:r>
              <w:rPr>
                <w:rFonts w:hint="eastAsia" w:ascii="Times New Roman" w:hAnsi="Times New Roman" w:eastAsia="宋体"/>
                <w:szCs w:val="21"/>
              </w:rPr>
              <w:t>。</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noWrap/>
            <w:vAlign w:val="center"/>
          </w:tcPr>
          <w:p>
            <w:pPr>
              <w:widowControl/>
              <w:spacing w:line="360" w:lineRule="auto"/>
              <w:rPr>
                <w:rFonts w:ascii="Times New Roman" w:hAnsi="Times New Roman" w:eastAsia="宋体" w:cs="Times New Roman"/>
                <w:b/>
                <w:bCs/>
                <w:color w:val="000000"/>
                <w:kern w:val="0"/>
                <w:szCs w:val="21"/>
              </w:rPr>
            </w:pPr>
            <w:r>
              <w:rPr>
                <w:rFonts w:ascii="Times New Roman" w:hAnsi="Times New Roman" w:eastAsia="宋体"/>
                <w:b/>
                <w:bCs/>
                <w:color w:val="000000"/>
                <w:szCs w:val="21"/>
              </w:rPr>
              <w:t>21苏银租赁绿色债01</w:t>
            </w:r>
          </w:p>
        </w:tc>
        <w:tc>
          <w:tcPr>
            <w:tcW w:w="1135" w:type="pct"/>
            <w:vAlign w:val="center"/>
          </w:tcPr>
          <w:p>
            <w:pPr>
              <w:widowControl/>
              <w:spacing w:line="360" w:lineRule="auto"/>
              <w:jc w:val="center"/>
              <w:rPr>
                <w:rFonts w:ascii="Times New Roman" w:hAnsi="Times New Roman" w:eastAsia="宋体" w:cs="Times New Roman"/>
                <w:color w:val="000000"/>
                <w:kern w:val="0"/>
                <w:szCs w:val="21"/>
              </w:rPr>
            </w:pPr>
            <w:r>
              <w:rPr>
                <w:rFonts w:ascii="Times New Roman" w:hAnsi="Times New Roman" w:eastAsia="宋体"/>
                <w:color w:val="000000"/>
                <w:szCs w:val="21"/>
              </w:rPr>
              <w:t>1,000</w:t>
            </w:r>
          </w:p>
        </w:tc>
        <w:tc>
          <w:tcPr>
            <w:tcW w:w="1178" w:type="pct"/>
            <w:vAlign w:val="center"/>
          </w:tcPr>
          <w:p>
            <w:pPr>
              <w:spacing w:line="360" w:lineRule="auto"/>
              <w:rPr>
                <w:rFonts w:ascii="Times New Roman" w:hAnsi="Times New Roman" w:eastAsia="宋体"/>
                <w:szCs w:val="21"/>
              </w:rPr>
            </w:pPr>
            <w:r>
              <w:rPr>
                <w:rFonts w:hint="eastAsia" w:ascii="Times New Roman" w:hAnsi="Times New Roman" w:eastAsia="宋体"/>
                <w:szCs w:val="21"/>
              </w:rPr>
              <w:t>光伏发电等项目</w:t>
            </w:r>
          </w:p>
        </w:tc>
        <w:tc>
          <w:tcPr>
            <w:tcW w:w="1377" w:type="pct"/>
            <w:vAlign w:val="center"/>
          </w:tcPr>
          <w:p>
            <w:pPr>
              <w:spacing w:line="360" w:lineRule="auto"/>
              <w:rPr>
                <w:rFonts w:ascii="Times New Roman" w:hAnsi="Times New Roman" w:eastAsia="宋体"/>
                <w:szCs w:val="21"/>
              </w:rPr>
            </w:pPr>
            <w:r>
              <w:rPr>
                <w:rFonts w:hint="eastAsia" w:ascii="Times New Roman" w:hAnsi="Times New Roman" w:eastAsia="宋体"/>
                <w:szCs w:val="21"/>
              </w:rPr>
              <w:t>年约</w:t>
            </w:r>
            <w:r>
              <w:rPr>
                <w:rFonts w:ascii="Times New Roman" w:hAnsi="Times New Roman" w:eastAsia="宋体"/>
                <w:szCs w:val="21"/>
              </w:rPr>
              <w:t>替代化石能源量173,027.80吨标准煤</w:t>
            </w:r>
            <w:r>
              <w:rPr>
                <w:rFonts w:hint="eastAsia" w:ascii="Times New Roman" w:hAnsi="Times New Roman" w:eastAsia="宋体"/>
                <w:szCs w:val="21"/>
              </w:rPr>
              <w:t>，减少二氧化碳排放量</w:t>
            </w:r>
            <w:r>
              <w:rPr>
                <w:rFonts w:ascii="Times New Roman" w:hAnsi="Times New Roman" w:eastAsia="宋体"/>
                <w:szCs w:val="21"/>
              </w:rPr>
              <w:t>454,922.10吨</w:t>
            </w:r>
            <w:r>
              <w:rPr>
                <w:rFonts w:hint="eastAsia" w:ascii="Times New Roman" w:hAnsi="Times New Roman" w:eastAsia="宋体"/>
                <w:szCs w:val="21"/>
              </w:rPr>
              <w:t>，</w:t>
            </w:r>
            <w:r>
              <w:rPr>
                <w:rFonts w:ascii="Times New Roman" w:hAnsi="Times New Roman" w:eastAsia="宋体"/>
                <w:szCs w:val="21"/>
              </w:rPr>
              <w:t>减少二氧</w:t>
            </w:r>
            <w:r>
              <w:rPr>
                <w:rFonts w:hint="eastAsia" w:ascii="Times New Roman" w:hAnsi="Times New Roman" w:eastAsia="宋体"/>
                <w:szCs w:val="21"/>
              </w:rPr>
              <w:t>化硫排放量</w:t>
            </w:r>
            <w:r>
              <w:rPr>
                <w:rFonts w:ascii="Times New Roman" w:hAnsi="Times New Roman" w:eastAsia="宋体"/>
                <w:szCs w:val="21"/>
              </w:rPr>
              <w:t>4,941.58吨</w:t>
            </w:r>
            <w:r>
              <w:rPr>
                <w:rFonts w:hint="eastAsia" w:ascii="Times New Roman" w:hAnsi="Times New Roman" w:eastAsia="宋体"/>
                <w:szCs w:val="21"/>
              </w:rPr>
              <w:t>，减少</w:t>
            </w:r>
            <w:r>
              <w:rPr>
                <w:rFonts w:ascii="Times New Roman" w:hAnsi="Times New Roman" w:eastAsia="宋体"/>
                <w:szCs w:val="21"/>
              </w:rPr>
              <w:t>氮氧化物排放量799.37吨。</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shd w:val="clear" w:color="auto" w:fill="DEEAF6" w:themeFill="accent5" w:themeFillTint="33"/>
            <w:noWrap/>
            <w:vAlign w:val="center"/>
          </w:tcPr>
          <w:p>
            <w:pPr>
              <w:widowControl/>
              <w:spacing w:line="360" w:lineRule="auto"/>
              <w:rPr>
                <w:rFonts w:ascii="Times New Roman" w:hAnsi="Times New Roman" w:eastAsia="宋体" w:cs="Times New Roman"/>
                <w:b/>
                <w:bCs/>
                <w:color w:val="000000"/>
                <w:kern w:val="0"/>
                <w:szCs w:val="21"/>
              </w:rPr>
            </w:pPr>
            <w:r>
              <w:rPr>
                <w:rFonts w:ascii="Times New Roman" w:hAnsi="Times New Roman" w:eastAsia="宋体"/>
                <w:b/>
                <w:bCs/>
                <w:color w:val="000000"/>
                <w:szCs w:val="21"/>
              </w:rPr>
              <w:t>21兴业租赁绿色债01</w:t>
            </w:r>
          </w:p>
        </w:tc>
        <w:tc>
          <w:tcPr>
            <w:tcW w:w="1135" w:type="pct"/>
            <w:shd w:val="clear" w:color="auto" w:fill="DEEAF6" w:themeFill="accent5" w:themeFillTint="33"/>
            <w:vAlign w:val="center"/>
          </w:tcPr>
          <w:p>
            <w:pPr>
              <w:widowControl/>
              <w:spacing w:line="360" w:lineRule="auto"/>
              <w:jc w:val="center"/>
              <w:rPr>
                <w:rFonts w:ascii="Times New Roman" w:hAnsi="Times New Roman" w:eastAsia="宋体" w:cs="Times New Roman"/>
                <w:color w:val="000000"/>
                <w:kern w:val="0"/>
                <w:szCs w:val="21"/>
              </w:rPr>
            </w:pPr>
            <w:r>
              <w:rPr>
                <w:rFonts w:ascii="Times New Roman" w:hAnsi="Times New Roman" w:eastAsia="宋体"/>
                <w:color w:val="000000"/>
                <w:szCs w:val="21"/>
              </w:rPr>
              <w:t>5,000</w:t>
            </w:r>
          </w:p>
        </w:tc>
        <w:tc>
          <w:tcPr>
            <w:tcW w:w="1178" w:type="pct"/>
            <w:shd w:val="clear" w:color="auto" w:fill="DEEAF6" w:themeFill="accent5" w:themeFillTint="33"/>
            <w:vAlign w:val="center"/>
          </w:tcPr>
          <w:p>
            <w:pPr>
              <w:widowControl/>
              <w:spacing w:line="360" w:lineRule="auto"/>
              <w:rPr>
                <w:rFonts w:ascii="Times New Roman" w:hAnsi="Times New Roman" w:eastAsia="宋体"/>
                <w:color w:val="000000"/>
                <w:szCs w:val="21"/>
              </w:rPr>
            </w:pPr>
            <w:r>
              <w:rPr>
                <w:rFonts w:hint="eastAsia" w:ascii="Times New Roman" w:hAnsi="Times New Roman" w:eastAsia="宋体"/>
                <w:color w:val="000000"/>
                <w:szCs w:val="21"/>
              </w:rPr>
              <w:t>光伏发电、风力发电、地铁建设等项目</w:t>
            </w:r>
          </w:p>
        </w:tc>
        <w:tc>
          <w:tcPr>
            <w:tcW w:w="1377" w:type="pct"/>
            <w:shd w:val="clear" w:color="auto" w:fill="DEEAF6" w:themeFill="accent5" w:themeFillTint="33"/>
            <w:vAlign w:val="center"/>
          </w:tcPr>
          <w:p>
            <w:pPr>
              <w:widowControl/>
              <w:spacing w:line="360" w:lineRule="auto"/>
              <w:rPr>
                <w:rFonts w:ascii="Times New Roman" w:hAnsi="Times New Roman" w:eastAsia="宋体"/>
                <w:color w:val="000000"/>
                <w:szCs w:val="21"/>
              </w:rPr>
            </w:pPr>
            <w:r>
              <w:rPr>
                <w:rFonts w:hint="eastAsia" w:ascii="Times New Roman" w:hAnsi="Times New Roman" w:eastAsia="宋体"/>
                <w:szCs w:val="21"/>
              </w:rPr>
              <w:t>年约节约标准煤</w:t>
            </w:r>
            <w:r>
              <w:rPr>
                <w:rFonts w:ascii="Times New Roman" w:hAnsi="Times New Roman" w:eastAsia="宋体"/>
                <w:szCs w:val="21"/>
              </w:rPr>
              <w:t>22,146,263.58</w:t>
            </w:r>
            <w:r>
              <w:rPr>
                <w:rFonts w:hint="eastAsia" w:ascii="Times New Roman" w:hAnsi="Times New Roman" w:eastAsia="宋体"/>
                <w:szCs w:val="21"/>
              </w:rPr>
              <w:t>吨，减排二氧化碳</w:t>
            </w:r>
            <w:r>
              <w:rPr>
                <w:rFonts w:ascii="Times New Roman" w:hAnsi="Times New Roman" w:eastAsia="宋体"/>
                <w:szCs w:val="21"/>
              </w:rPr>
              <w:t>8,216,263.79</w:t>
            </w:r>
            <w:r>
              <w:rPr>
                <w:rFonts w:hint="eastAsia" w:ascii="Times New Roman" w:hAnsi="Times New Roman" w:eastAsia="宋体"/>
                <w:szCs w:val="21"/>
              </w:rPr>
              <w:t>吨。</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noWrap/>
            <w:vAlign w:val="center"/>
          </w:tcPr>
          <w:p>
            <w:pPr>
              <w:widowControl/>
              <w:spacing w:line="360" w:lineRule="auto"/>
              <w:rPr>
                <w:rFonts w:ascii="Times New Roman" w:hAnsi="Times New Roman" w:eastAsia="宋体" w:cs="Times New Roman"/>
                <w:b w:val="0"/>
                <w:bCs w:val="0"/>
                <w:color w:val="000000"/>
                <w:szCs w:val="21"/>
              </w:rPr>
            </w:pPr>
            <w:r>
              <w:rPr>
                <w:rFonts w:ascii="Times New Roman" w:hAnsi="Times New Roman" w:eastAsia="宋体"/>
                <w:b/>
                <w:bCs/>
                <w:color w:val="000000"/>
                <w:szCs w:val="21"/>
              </w:rPr>
              <w:t>21兴业租赁绿色债02</w:t>
            </w:r>
          </w:p>
        </w:tc>
        <w:tc>
          <w:tcPr>
            <w:tcW w:w="1135" w:type="pct"/>
            <w:vAlign w:val="center"/>
          </w:tcPr>
          <w:p>
            <w:pPr>
              <w:widowControl/>
              <w:spacing w:line="360" w:lineRule="auto"/>
              <w:jc w:val="center"/>
              <w:rPr>
                <w:rFonts w:ascii="Times New Roman" w:hAnsi="Times New Roman" w:eastAsia="宋体" w:cs="Times New Roman"/>
                <w:color w:val="000000"/>
                <w:szCs w:val="21"/>
              </w:rPr>
            </w:pPr>
            <w:r>
              <w:rPr>
                <w:rFonts w:ascii="Times New Roman" w:hAnsi="Times New Roman" w:eastAsia="宋体"/>
                <w:color w:val="000000"/>
                <w:szCs w:val="21"/>
              </w:rPr>
              <w:t>2,000</w:t>
            </w:r>
          </w:p>
        </w:tc>
        <w:tc>
          <w:tcPr>
            <w:tcW w:w="1178" w:type="pct"/>
            <w:vAlign w:val="center"/>
          </w:tcPr>
          <w:p>
            <w:pPr>
              <w:widowControl/>
              <w:spacing w:line="360" w:lineRule="auto"/>
              <w:rPr>
                <w:rFonts w:ascii="Times New Roman" w:hAnsi="Times New Roman" w:eastAsia="宋体"/>
                <w:color w:val="000000"/>
                <w:szCs w:val="21"/>
              </w:rPr>
            </w:pPr>
            <w:r>
              <w:rPr>
                <w:rFonts w:hint="eastAsia" w:ascii="Times New Roman" w:hAnsi="Times New Roman" w:eastAsia="宋体"/>
                <w:color w:val="000000"/>
                <w:szCs w:val="21"/>
              </w:rPr>
              <w:t>光伏发电等项目</w:t>
            </w:r>
          </w:p>
        </w:tc>
        <w:tc>
          <w:tcPr>
            <w:tcW w:w="1377" w:type="pct"/>
            <w:vAlign w:val="center"/>
          </w:tcPr>
          <w:p>
            <w:pPr>
              <w:widowControl/>
              <w:spacing w:line="360" w:lineRule="auto"/>
              <w:rPr>
                <w:rFonts w:ascii="Times New Roman" w:hAnsi="Times New Roman" w:eastAsia="宋体"/>
                <w:color w:val="000000"/>
                <w:szCs w:val="21"/>
              </w:rPr>
            </w:pPr>
            <w:r>
              <w:rPr>
                <w:rFonts w:hint="eastAsia" w:ascii="Times New Roman" w:hAnsi="Times New Roman" w:eastAsia="宋体"/>
                <w:szCs w:val="21"/>
              </w:rPr>
              <w:t>年约节约标准煤</w:t>
            </w:r>
            <w:r>
              <w:rPr>
                <w:rFonts w:ascii="Times New Roman" w:hAnsi="Times New Roman" w:eastAsia="宋体"/>
                <w:szCs w:val="21"/>
              </w:rPr>
              <w:t>30</w:t>
            </w:r>
            <w:r>
              <w:rPr>
                <w:rFonts w:hint="eastAsia" w:ascii="Times New Roman" w:hAnsi="Times New Roman" w:eastAsia="宋体"/>
                <w:szCs w:val="21"/>
                <w:lang w:val="en-US" w:eastAsia="zh-CN"/>
              </w:rPr>
              <w:t>,</w:t>
            </w:r>
            <w:r>
              <w:rPr>
                <w:rFonts w:ascii="Times New Roman" w:hAnsi="Times New Roman" w:eastAsia="宋体"/>
                <w:szCs w:val="21"/>
              </w:rPr>
              <w:t>423.47</w:t>
            </w:r>
            <w:r>
              <w:rPr>
                <w:rFonts w:hint="eastAsia" w:ascii="Times New Roman" w:hAnsi="Times New Roman" w:eastAsia="宋体"/>
                <w:szCs w:val="21"/>
              </w:rPr>
              <w:t>吨，减排二氧化碳</w:t>
            </w:r>
            <w:r>
              <w:rPr>
                <w:rFonts w:ascii="Times New Roman" w:hAnsi="Times New Roman" w:eastAsia="宋体"/>
                <w:szCs w:val="21"/>
              </w:rPr>
              <w:t>68</w:t>
            </w:r>
            <w:r>
              <w:rPr>
                <w:rFonts w:hint="eastAsia" w:ascii="Times New Roman" w:hAnsi="Times New Roman" w:eastAsia="宋体"/>
                <w:szCs w:val="21"/>
                <w:lang w:val="en-US" w:eastAsia="zh-CN"/>
              </w:rPr>
              <w:t>,</w:t>
            </w:r>
            <w:r>
              <w:rPr>
                <w:rFonts w:ascii="Times New Roman" w:hAnsi="Times New Roman" w:eastAsia="宋体"/>
                <w:szCs w:val="21"/>
              </w:rPr>
              <w:t>477.58</w:t>
            </w:r>
            <w:r>
              <w:rPr>
                <w:rFonts w:hint="eastAsia" w:ascii="Times New Roman" w:hAnsi="Times New Roman" w:eastAsia="宋体"/>
                <w:szCs w:val="21"/>
              </w:rPr>
              <w:t>吨。</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shd w:val="clear" w:color="auto" w:fill="DEEAF6" w:themeFill="accent5" w:themeFillTint="33"/>
            <w:noWrap/>
            <w:vAlign w:val="center"/>
          </w:tcPr>
          <w:p>
            <w:pPr>
              <w:widowControl/>
              <w:spacing w:line="360" w:lineRule="auto"/>
              <w:rPr>
                <w:rFonts w:ascii="Times New Roman" w:hAnsi="Times New Roman" w:eastAsia="宋体" w:cs="Times New Roman"/>
                <w:b w:val="0"/>
                <w:bCs w:val="0"/>
                <w:color w:val="000000"/>
                <w:szCs w:val="21"/>
              </w:rPr>
            </w:pPr>
            <w:r>
              <w:rPr>
                <w:rFonts w:ascii="Times New Roman" w:hAnsi="Times New Roman" w:eastAsia="宋体"/>
                <w:b/>
                <w:bCs/>
                <w:color w:val="000000"/>
                <w:szCs w:val="21"/>
              </w:rPr>
              <w:t>22南海农商绿色债</w:t>
            </w:r>
          </w:p>
        </w:tc>
        <w:tc>
          <w:tcPr>
            <w:tcW w:w="1135" w:type="pct"/>
            <w:shd w:val="clear" w:color="auto" w:fill="DEEAF6" w:themeFill="accent5" w:themeFillTint="33"/>
            <w:vAlign w:val="center"/>
          </w:tcPr>
          <w:p>
            <w:pPr>
              <w:widowControl/>
              <w:spacing w:line="360" w:lineRule="auto"/>
              <w:jc w:val="center"/>
              <w:rPr>
                <w:rFonts w:ascii="Times New Roman" w:hAnsi="Times New Roman" w:eastAsia="宋体" w:cs="Times New Roman"/>
                <w:color w:val="000000"/>
                <w:szCs w:val="21"/>
              </w:rPr>
            </w:pPr>
            <w:r>
              <w:rPr>
                <w:rFonts w:ascii="Times New Roman" w:hAnsi="Times New Roman" w:eastAsia="宋体"/>
                <w:color w:val="000000"/>
                <w:szCs w:val="21"/>
              </w:rPr>
              <w:t>5,000</w:t>
            </w:r>
          </w:p>
        </w:tc>
        <w:tc>
          <w:tcPr>
            <w:tcW w:w="1178" w:type="pct"/>
            <w:shd w:val="clear" w:color="auto" w:fill="DEEAF6" w:themeFill="accent5" w:themeFillTint="33"/>
            <w:vAlign w:val="center"/>
          </w:tcPr>
          <w:p>
            <w:pPr>
              <w:widowControl/>
              <w:spacing w:line="360" w:lineRule="auto"/>
              <w:rPr>
                <w:rFonts w:ascii="Times New Roman" w:hAnsi="Times New Roman" w:eastAsia="宋体"/>
                <w:color w:val="000000"/>
                <w:szCs w:val="21"/>
              </w:rPr>
            </w:pPr>
            <w:r>
              <w:rPr>
                <w:rFonts w:hint="eastAsia" w:ascii="Times New Roman" w:hAnsi="Times New Roman" w:eastAsia="宋体"/>
                <w:color w:val="000000"/>
                <w:szCs w:val="21"/>
              </w:rPr>
              <w:t>废弃物回收利用等项目</w:t>
            </w:r>
          </w:p>
        </w:tc>
        <w:tc>
          <w:tcPr>
            <w:tcW w:w="1377" w:type="pct"/>
            <w:shd w:val="clear" w:color="auto" w:fill="DEEAF6" w:themeFill="accent5" w:themeFillTint="33"/>
            <w:vAlign w:val="center"/>
          </w:tcPr>
          <w:p>
            <w:pPr>
              <w:widowControl/>
              <w:spacing w:line="360" w:lineRule="auto"/>
              <w:rPr>
                <w:rFonts w:ascii="Times New Roman" w:hAnsi="Times New Roman" w:eastAsia="宋体"/>
                <w:szCs w:val="21"/>
              </w:rPr>
            </w:pPr>
            <w:r>
              <w:rPr>
                <w:rFonts w:hint="eastAsia" w:ascii="Times New Roman" w:hAnsi="Times New Roman" w:eastAsia="宋体"/>
                <w:szCs w:val="21"/>
              </w:rPr>
              <w:t>年约节约</w:t>
            </w:r>
            <w:r>
              <w:rPr>
                <w:rFonts w:ascii="Times New Roman" w:hAnsi="Times New Roman" w:eastAsia="宋体"/>
                <w:szCs w:val="21"/>
              </w:rPr>
              <w:t>49,518吨标准煤，减少二氧化碳排放量5,194</w:t>
            </w:r>
            <w:r>
              <w:rPr>
                <w:rFonts w:hint="eastAsia" w:ascii="Times New Roman" w:hAnsi="Times New Roman" w:eastAsia="宋体"/>
                <w:szCs w:val="21"/>
              </w:rPr>
              <w:t>吨，</w:t>
            </w:r>
            <w:r>
              <w:rPr>
                <w:rFonts w:ascii="Times New Roman" w:hAnsi="Times New Roman" w:eastAsia="宋体"/>
                <w:szCs w:val="21"/>
              </w:rPr>
              <w:t>节</w:t>
            </w:r>
            <w:r>
              <w:rPr>
                <w:rFonts w:hint="eastAsia" w:ascii="Times New Roman" w:hAnsi="Times New Roman" w:eastAsia="宋体"/>
                <w:szCs w:val="21"/>
              </w:rPr>
              <w:t>水</w:t>
            </w:r>
            <w:r>
              <w:rPr>
                <w:rFonts w:ascii="Times New Roman" w:hAnsi="Times New Roman" w:eastAsia="宋体"/>
                <w:szCs w:val="21"/>
              </w:rPr>
              <w:t>373.6万吨，减少二氧化硫排放量1,211吨</w:t>
            </w:r>
            <w:r>
              <w:rPr>
                <w:rFonts w:hint="eastAsia" w:ascii="Times New Roman" w:hAnsi="Times New Roman" w:eastAsia="宋体"/>
                <w:szCs w:val="21"/>
              </w:rPr>
              <w:t>。</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307" w:type="pct"/>
            <w:noWrap/>
            <w:vAlign w:val="center"/>
          </w:tcPr>
          <w:p>
            <w:pPr>
              <w:widowControl/>
              <w:spacing w:line="360" w:lineRule="auto"/>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合计</w:t>
            </w:r>
          </w:p>
        </w:tc>
        <w:tc>
          <w:tcPr>
            <w:tcW w:w="1135" w:type="pct"/>
            <w:vAlign w:val="center"/>
          </w:tcPr>
          <w:p>
            <w:pPr>
              <w:widowControl/>
              <w:spacing w:line="360" w:lineRule="auto"/>
              <w:jc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1</w:t>
            </w:r>
            <w:r>
              <w:rPr>
                <w:rFonts w:ascii="Times New Roman" w:hAnsi="Times New Roman" w:eastAsia="宋体" w:cs="Times New Roman"/>
                <w:b/>
                <w:bCs/>
                <w:color w:val="000000"/>
                <w:szCs w:val="21"/>
              </w:rPr>
              <w:t>8</w:t>
            </w:r>
            <w:r>
              <w:rPr>
                <w:rFonts w:hint="eastAsia" w:ascii="Times New Roman" w:hAnsi="Times New Roman" w:eastAsia="宋体" w:cs="Times New Roman"/>
                <w:b/>
                <w:bCs/>
                <w:color w:val="000000"/>
                <w:szCs w:val="21"/>
              </w:rPr>
              <w:t>,</w:t>
            </w:r>
            <w:r>
              <w:rPr>
                <w:rFonts w:ascii="Times New Roman" w:hAnsi="Times New Roman" w:eastAsia="宋体" w:cs="Times New Roman"/>
                <w:b/>
                <w:bCs/>
                <w:color w:val="000000"/>
                <w:szCs w:val="21"/>
              </w:rPr>
              <w:t>000</w:t>
            </w:r>
          </w:p>
        </w:tc>
        <w:tc>
          <w:tcPr>
            <w:tcW w:w="1178" w:type="pct"/>
            <w:vAlign w:val="center"/>
          </w:tcPr>
          <w:p>
            <w:pPr>
              <w:widowControl/>
              <w:spacing w:line="360" w:lineRule="auto"/>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w:t>
            </w:r>
          </w:p>
        </w:tc>
        <w:tc>
          <w:tcPr>
            <w:tcW w:w="1377" w:type="pct"/>
            <w:vAlign w:val="center"/>
          </w:tcPr>
          <w:p>
            <w:pPr>
              <w:widowControl/>
              <w:spacing w:line="360" w:lineRule="auto"/>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w:t>
            </w:r>
          </w:p>
        </w:tc>
      </w:tr>
    </w:tbl>
    <w:p>
      <w:pPr>
        <w:pStyle w:val="2"/>
        <w:spacing w:line="360" w:lineRule="auto"/>
        <w:rPr>
          <w:rFonts w:hint="default" w:ascii="Times New Roman" w:hAnsi="Times New Roman"/>
        </w:rPr>
      </w:pPr>
      <w:bookmarkStart w:id="186" w:name="_Toc16104"/>
    </w:p>
    <w:p>
      <w:pPr>
        <w:pStyle w:val="6"/>
        <w:numPr>
          <w:ilvl w:val="0"/>
          <w:numId w:val="10"/>
        </w:numPr>
        <w:spacing w:line="360" w:lineRule="auto"/>
        <w:jc w:val="both"/>
        <w:rPr>
          <w:bCs w:val="0"/>
          <w:color w:val="2E75B6" w:themeColor="accent5" w:themeShade="BF"/>
        </w:rPr>
      </w:pPr>
      <w:r>
        <w:rPr>
          <w:rFonts w:hint="eastAsia"/>
          <w:bCs w:val="0"/>
          <w:color w:val="2E75B6" w:themeColor="accent5" w:themeShade="BF"/>
        </w:rPr>
        <w:t>绿色投融资案例</w:t>
      </w:r>
    </w:p>
    <w:p>
      <w:pPr>
        <w:numPr>
          <w:ilvl w:val="0"/>
          <w:numId w:val="11"/>
        </w:numPr>
        <w:spacing w:before="40" w:after="40" w:line="360" w:lineRule="auto"/>
        <w:rPr>
          <w:rFonts w:ascii="Times New Roman" w:hAnsi="Times New Roman" w:eastAsia="黑体" w:cs="黑体"/>
          <w:b/>
          <w:bCs/>
          <w:color w:val="2E75B6" w:themeColor="accent5" w:themeShade="BF"/>
          <w:sz w:val="24"/>
          <w:szCs w:val="24"/>
        </w:rPr>
      </w:pPr>
      <w:r>
        <w:rPr>
          <w:rFonts w:hint="eastAsia" w:ascii="Times New Roman" w:hAnsi="Times New Roman" w:eastAsia="黑体" w:cs="黑体"/>
          <w:b/>
          <w:bCs/>
          <w:color w:val="2E75B6" w:themeColor="accent5" w:themeShade="BF"/>
          <w:sz w:val="24"/>
          <w:szCs w:val="24"/>
        </w:rPr>
        <w:t>项目名称</w:t>
      </w:r>
    </w:p>
    <w:p>
      <w:pPr>
        <w:spacing w:line="360" w:lineRule="auto"/>
        <w:ind w:firstLine="480" w:firstLineChars="200"/>
        <w:rPr>
          <w:rFonts w:ascii="Times New Roman" w:hAnsi="Times New Roman" w:eastAsia="宋体" w:cs="宋体"/>
          <w:sz w:val="24"/>
          <w:szCs w:val="36"/>
        </w:rPr>
      </w:pPr>
      <w:r>
        <w:rPr>
          <w:rFonts w:ascii="Times New Roman" w:hAnsi="Times New Roman" w:eastAsia="宋体" w:cs="宋体"/>
          <w:sz w:val="24"/>
          <w:szCs w:val="36"/>
        </w:rPr>
        <w:t>**</w:t>
      </w:r>
      <w:r>
        <w:rPr>
          <w:rFonts w:hint="eastAsia" w:ascii="Times New Roman" w:hAnsi="Times New Roman" w:eastAsia="宋体" w:cs="宋体"/>
          <w:sz w:val="24"/>
          <w:szCs w:val="36"/>
        </w:rPr>
        <w:t>屋顶光伏项目</w:t>
      </w:r>
    </w:p>
    <w:p>
      <w:pPr>
        <w:numPr>
          <w:ilvl w:val="0"/>
          <w:numId w:val="11"/>
        </w:numPr>
        <w:spacing w:before="40" w:after="40" w:line="360" w:lineRule="auto"/>
        <w:ind w:left="0" w:firstLine="482"/>
        <w:rPr>
          <w:rFonts w:ascii="Times New Roman" w:hAnsi="Times New Roman" w:eastAsia="黑体" w:cs="黑体"/>
          <w:b/>
          <w:bCs/>
          <w:color w:val="2E75B6" w:themeColor="accent5" w:themeShade="BF"/>
          <w:sz w:val="24"/>
          <w:szCs w:val="24"/>
        </w:rPr>
      </w:pPr>
      <w:r>
        <w:rPr>
          <w:rFonts w:hint="eastAsia" w:ascii="Times New Roman" w:hAnsi="Times New Roman" w:eastAsia="黑体" w:cs="黑体"/>
          <w:b/>
          <w:bCs/>
          <w:color w:val="2E75B6" w:themeColor="accent5" w:themeShade="BF"/>
          <w:sz w:val="24"/>
          <w:szCs w:val="24"/>
        </w:rPr>
        <w:t>项目内容</w:t>
      </w:r>
    </w:p>
    <w:p>
      <w:pPr>
        <w:spacing w:line="360" w:lineRule="auto"/>
        <w:ind w:firstLine="480" w:firstLineChars="200"/>
        <w:rPr>
          <w:rFonts w:ascii="Times New Roman" w:hAnsi="Times New Roman" w:eastAsia="宋体" w:cs="宋体"/>
          <w:sz w:val="24"/>
          <w:szCs w:val="36"/>
        </w:rPr>
      </w:pPr>
      <w:r>
        <w:rPr>
          <w:rFonts w:hint="eastAsia" w:ascii="Times New Roman" w:hAnsi="Times New Roman" w:eastAsia="宋体" w:cs="宋体"/>
          <w:sz w:val="24"/>
          <w:szCs w:val="36"/>
        </w:rPr>
        <w:t>该项目位于广东省，总建设容量为</w:t>
      </w:r>
      <w:r>
        <w:rPr>
          <w:rFonts w:ascii="Times New Roman" w:hAnsi="Times New Roman" w:eastAsia="宋体" w:cs="宋体"/>
          <w:sz w:val="24"/>
          <w:szCs w:val="36"/>
        </w:rPr>
        <w:t>374.16MWp，</w:t>
      </w:r>
      <w:r>
        <w:rPr>
          <w:rFonts w:hint="eastAsia" w:ascii="Times New Roman" w:hAnsi="Times New Roman" w:eastAsia="宋体" w:cs="宋体"/>
          <w:sz w:val="24"/>
          <w:szCs w:val="36"/>
        </w:rPr>
        <w:t>项目总投资</w:t>
      </w:r>
      <w:r>
        <w:rPr>
          <w:rFonts w:ascii="Times New Roman" w:hAnsi="Times New Roman" w:eastAsia="宋体" w:cs="宋体"/>
          <w:sz w:val="24"/>
          <w:szCs w:val="36"/>
        </w:rPr>
        <w:t>158,400.00</w:t>
      </w:r>
      <w:r>
        <w:rPr>
          <w:rFonts w:hint="eastAsia" w:ascii="Times New Roman" w:hAnsi="Times New Roman" w:eastAsia="宋体" w:cs="宋体"/>
          <w:sz w:val="24"/>
          <w:szCs w:val="36"/>
        </w:rPr>
        <w:t>万元。</w:t>
      </w:r>
    </w:p>
    <w:p>
      <w:pPr>
        <w:numPr>
          <w:ilvl w:val="0"/>
          <w:numId w:val="11"/>
        </w:numPr>
        <w:spacing w:before="40" w:after="40" w:line="360" w:lineRule="auto"/>
        <w:rPr>
          <w:rFonts w:ascii="Times New Roman" w:hAnsi="Times New Roman" w:eastAsia="黑体" w:cs="黑体"/>
          <w:b/>
          <w:bCs/>
          <w:color w:val="2E75B6" w:themeColor="accent5" w:themeShade="BF"/>
          <w:sz w:val="24"/>
          <w:szCs w:val="24"/>
        </w:rPr>
      </w:pPr>
      <w:r>
        <w:rPr>
          <w:rFonts w:hint="eastAsia" w:ascii="Times New Roman" w:hAnsi="Times New Roman" w:eastAsia="黑体" w:cs="黑体"/>
          <w:b/>
          <w:bCs/>
          <w:color w:val="2E75B6" w:themeColor="accent5" w:themeShade="BF"/>
          <w:sz w:val="24"/>
          <w:szCs w:val="24"/>
        </w:rPr>
        <w:t>项目环境效益</w:t>
      </w:r>
    </w:p>
    <w:p>
      <w:pPr>
        <w:spacing w:line="360" w:lineRule="auto"/>
        <w:ind w:firstLine="480" w:firstLineChars="200"/>
        <w:rPr>
          <w:rFonts w:ascii="Times New Roman" w:hAnsi="Times New Roman" w:eastAsia="宋体" w:cs="宋体"/>
          <w:sz w:val="24"/>
          <w:szCs w:val="36"/>
        </w:rPr>
      </w:pPr>
      <w:r>
        <w:rPr>
          <w:rFonts w:hint="eastAsia" w:ascii="Times New Roman" w:hAnsi="Times New Roman" w:eastAsia="宋体" w:cs="宋体"/>
          <w:sz w:val="24"/>
          <w:szCs w:val="36"/>
        </w:rPr>
        <w:t>该项目可实现年发电量</w:t>
      </w:r>
      <w:r>
        <w:rPr>
          <w:rFonts w:ascii="Times New Roman" w:hAnsi="Times New Roman" w:eastAsia="宋体" w:cs="宋体"/>
          <w:sz w:val="24"/>
          <w:szCs w:val="36"/>
        </w:rPr>
        <w:t>37,240.14万千瓦时，</w:t>
      </w:r>
      <w:r>
        <w:rPr>
          <w:rFonts w:hint="eastAsia" w:ascii="Times New Roman" w:hAnsi="Times New Roman" w:eastAsia="宋体" w:cs="宋体"/>
          <w:sz w:val="24"/>
          <w:szCs w:val="36"/>
        </w:rPr>
        <w:t>相较</w:t>
      </w:r>
      <w:r>
        <w:rPr>
          <w:rFonts w:ascii="Times New Roman" w:hAnsi="Times New Roman" w:eastAsia="宋体" w:cs="宋体"/>
          <w:sz w:val="24"/>
          <w:szCs w:val="36"/>
        </w:rPr>
        <w:t>同等发电量的火力发电相，该项目可实现每年协同替代化石能源量11.27万吨标准煤，减少二氧化碳排放量24.45万吨，减少二氧化硫排放量59.58吨，减少氮氧化物排放量66.66吨，减少烟尘排放量11.92吨。</w:t>
      </w:r>
    </w:p>
    <w:p>
      <w:pPr>
        <w:numPr>
          <w:ilvl w:val="0"/>
          <w:numId w:val="11"/>
        </w:numPr>
        <w:spacing w:before="40" w:after="40" w:line="360" w:lineRule="auto"/>
        <w:rPr>
          <w:rFonts w:ascii="Times New Roman" w:hAnsi="Times New Roman" w:eastAsia="黑体" w:cs="黑体"/>
          <w:b/>
          <w:bCs/>
          <w:color w:val="2E75B6" w:themeColor="accent5" w:themeShade="BF"/>
          <w:sz w:val="24"/>
          <w:szCs w:val="24"/>
        </w:rPr>
      </w:pPr>
      <w:r>
        <w:rPr>
          <w:rFonts w:hint="eastAsia" w:ascii="Times New Roman" w:hAnsi="Times New Roman" w:eastAsia="黑体" w:cs="黑体"/>
          <w:b/>
          <w:bCs/>
          <w:color w:val="2E75B6" w:themeColor="accent5" w:themeShade="BF"/>
          <w:sz w:val="24"/>
          <w:szCs w:val="24"/>
        </w:rPr>
        <w:t>本行融资对应的环境效益</w:t>
      </w:r>
    </w:p>
    <w:p>
      <w:pPr>
        <w:spacing w:line="360" w:lineRule="auto"/>
        <w:ind w:firstLine="480" w:firstLineChars="200"/>
        <w:rPr>
          <w:rFonts w:ascii="Times New Roman" w:hAnsi="Times New Roman" w:eastAsia="宋体" w:cs="宋体"/>
          <w:sz w:val="24"/>
          <w:szCs w:val="36"/>
        </w:rPr>
      </w:pPr>
      <w:r>
        <w:rPr>
          <w:rFonts w:hint="eastAsia" w:ascii="Times New Roman" w:hAnsi="Times New Roman" w:eastAsia="宋体" w:cs="宋体"/>
          <w:sz w:val="24"/>
          <w:szCs w:val="36"/>
        </w:rPr>
        <w:t>截至</w:t>
      </w:r>
      <w:r>
        <w:rPr>
          <w:rFonts w:ascii="Times New Roman" w:hAnsi="Times New Roman" w:eastAsia="宋体" w:cs="宋体"/>
          <w:sz w:val="24"/>
          <w:szCs w:val="36"/>
        </w:rPr>
        <w:t>2022</w:t>
      </w:r>
      <w:r>
        <w:rPr>
          <w:rFonts w:hint="eastAsia" w:ascii="Times New Roman" w:hAnsi="Times New Roman" w:eastAsia="宋体" w:cs="宋体"/>
          <w:sz w:val="24"/>
          <w:szCs w:val="36"/>
        </w:rPr>
        <w:t>年末，本行该项目融资</w:t>
      </w:r>
      <w:r>
        <w:rPr>
          <w:rFonts w:ascii="Times New Roman" w:hAnsi="Times New Roman" w:eastAsia="宋体" w:cs="宋体"/>
          <w:sz w:val="24"/>
          <w:szCs w:val="36"/>
        </w:rPr>
        <w:t>23,725</w:t>
      </w:r>
      <w:r>
        <w:rPr>
          <w:rFonts w:hint="eastAsia" w:ascii="Times New Roman" w:hAnsi="Times New Roman" w:eastAsia="宋体" w:cs="宋体"/>
          <w:sz w:val="24"/>
          <w:szCs w:val="36"/>
        </w:rPr>
        <w:t>.</w:t>
      </w:r>
      <w:r>
        <w:rPr>
          <w:rFonts w:ascii="Times New Roman" w:hAnsi="Times New Roman" w:eastAsia="宋体" w:cs="宋体"/>
          <w:sz w:val="24"/>
          <w:szCs w:val="36"/>
        </w:rPr>
        <w:t>00</w:t>
      </w:r>
      <w:r>
        <w:rPr>
          <w:rFonts w:hint="eastAsia" w:ascii="Times New Roman" w:hAnsi="Times New Roman" w:eastAsia="宋体" w:cs="宋体"/>
          <w:sz w:val="24"/>
          <w:szCs w:val="36"/>
        </w:rPr>
        <w:t>万元</w:t>
      </w:r>
      <w:r>
        <w:rPr>
          <w:rFonts w:ascii="Times New Roman" w:hAnsi="Times New Roman" w:eastAsia="宋体" w:cs="宋体"/>
          <w:sz w:val="24"/>
          <w:szCs w:val="36"/>
        </w:rPr>
        <w:t>,</w:t>
      </w:r>
      <w:r>
        <w:rPr>
          <w:rFonts w:hint="eastAsia" w:ascii="Times New Roman" w:hAnsi="Times New Roman" w:eastAsia="宋体" w:cs="宋体"/>
          <w:sz w:val="24"/>
          <w:szCs w:val="36"/>
        </w:rPr>
        <w:t>基于该项目总投资及融资余额，经测算，该绿色贷款所产生的环境效益为：折合节约标准煤</w:t>
      </w:r>
      <w:r>
        <w:rPr>
          <w:rFonts w:ascii="Times New Roman" w:hAnsi="Times New Roman" w:eastAsia="宋体" w:cs="宋体"/>
          <w:sz w:val="24"/>
          <w:szCs w:val="36"/>
        </w:rPr>
        <w:t>1.69万吨，</w:t>
      </w:r>
      <w:r>
        <w:rPr>
          <w:rFonts w:hint="eastAsia" w:ascii="Times New Roman" w:hAnsi="Times New Roman" w:eastAsia="宋体" w:cs="宋体"/>
          <w:sz w:val="24"/>
          <w:szCs w:val="36"/>
        </w:rPr>
        <w:t>折合减排二氧化碳</w:t>
      </w:r>
      <w:r>
        <w:rPr>
          <w:rFonts w:ascii="Times New Roman" w:hAnsi="Times New Roman" w:eastAsia="宋体" w:cs="宋体"/>
          <w:sz w:val="24"/>
          <w:szCs w:val="36"/>
        </w:rPr>
        <w:t>3.66万吨，减</w:t>
      </w:r>
      <w:r>
        <w:rPr>
          <w:rFonts w:hint="eastAsia" w:ascii="Times New Roman" w:hAnsi="Times New Roman" w:eastAsia="宋体" w:cs="宋体"/>
          <w:sz w:val="24"/>
          <w:szCs w:val="36"/>
        </w:rPr>
        <w:t>排</w:t>
      </w:r>
      <w:r>
        <w:rPr>
          <w:rFonts w:ascii="Times New Roman" w:hAnsi="Times New Roman" w:eastAsia="宋体" w:cs="宋体"/>
          <w:sz w:val="24"/>
          <w:szCs w:val="36"/>
        </w:rPr>
        <w:t>二氧化硫8.92吨，减</w:t>
      </w:r>
      <w:r>
        <w:rPr>
          <w:rFonts w:hint="eastAsia" w:ascii="Times New Roman" w:hAnsi="Times New Roman" w:eastAsia="宋体" w:cs="宋体"/>
          <w:sz w:val="24"/>
          <w:szCs w:val="36"/>
        </w:rPr>
        <w:t>排</w:t>
      </w:r>
      <w:r>
        <w:rPr>
          <w:rFonts w:ascii="Times New Roman" w:hAnsi="Times New Roman" w:eastAsia="宋体" w:cs="宋体"/>
          <w:sz w:val="24"/>
          <w:szCs w:val="36"/>
        </w:rPr>
        <w:t>氮氧化物9.98吨，减</w:t>
      </w:r>
      <w:r>
        <w:rPr>
          <w:rFonts w:hint="eastAsia" w:ascii="Times New Roman" w:hAnsi="Times New Roman" w:eastAsia="宋体" w:cs="宋体"/>
          <w:sz w:val="24"/>
          <w:szCs w:val="36"/>
        </w:rPr>
        <w:t>排</w:t>
      </w:r>
      <w:r>
        <w:rPr>
          <w:rFonts w:ascii="Times New Roman" w:hAnsi="Times New Roman" w:eastAsia="宋体" w:cs="宋体"/>
          <w:sz w:val="24"/>
          <w:szCs w:val="36"/>
        </w:rPr>
        <w:t>烟尘排放量1.79吨</w:t>
      </w:r>
      <w:r>
        <w:rPr>
          <w:rFonts w:hint="eastAsia" w:ascii="Times New Roman" w:hAnsi="Times New Roman" w:eastAsia="宋体" w:cs="宋体"/>
          <w:sz w:val="24"/>
          <w:szCs w:val="36"/>
        </w:rPr>
        <w:t>。</w:t>
      </w:r>
    </w:p>
    <w:p>
      <w:pPr>
        <w:spacing w:line="360" w:lineRule="auto"/>
        <w:rPr>
          <w:rFonts w:ascii="Times New Roman" w:hAnsi="Times New Roman"/>
        </w:rPr>
      </w:pPr>
    </w:p>
    <w:bookmarkEnd w:id="186"/>
    <w:p>
      <w:pPr>
        <w:pStyle w:val="6"/>
        <w:numPr>
          <w:ilvl w:val="0"/>
          <w:numId w:val="10"/>
        </w:numPr>
        <w:spacing w:line="360" w:lineRule="auto"/>
        <w:jc w:val="both"/>
        <w:rPr>
          <w:bCs w:val="0"/>
          <w:color w:val="2E75B6" w:themeColor="accent5" w:themeShade="BF"/>
        </w:rPr>
      </w:pPr>
      <w:r>
        <w:rPr>
          <w:rFonts w:hint="eastAsia"/>
          <w:bCs w:val="0"/>
          <w:color w:val="2E75B6" w:themeColor="accent5" w:themeShade="BF"/>
        </w:rPr>
        <w:t>行业投融资碳排放情况</w:t>
      </w:r>
    </w:p>
    <w:p>
      <w:pPr>
        <w:spacing w:line="360" w:lineRule="auto"/>
        <w:ind w:firstLine="480" w:firstLineChars="200"/>
        <w:rPr>
          <w:rFonts w:ascii="Times New Roman" w:hAnsi="Times New Roman" w:eastAsia="宋体" w:cs="宋体"/>
          <w:sz w:val="24"/>
          <w:szCs w:val="36"/>
        </w:rPr>
      </w:pPr>
      <w:r>
        <w:rPr>
          <w:rFonts w:ascii="Times New Roman" w:hAnsi="Times New Roman" w:eastAsia="宋体" w:cs="宋体"/>
          <w:sz w:val="24"/>
          <w:szCs w:val="36"/>
        </w:rPr>
        <w:t>2022</w:t>
      </w:r>
      <w:r>
        <w:rPr>
          <w:rFonts w:hint="eastAsia" w:ascii="Times New Roman" w:hAnsi="Times New Roman" w:eastAsia="宋体" w:cs="宋体"/>
          <w:sz w:val="24"/>
          <w:szCs w:val="36"/>
        </w:rPr>
        <w:t>年，</w:t>
      </w:r>
      <w:r>
        <w:rPr>
          <w:rFonts w:ascii="Times New Roman" w:hAnsi="Times New Roman" w:eastAsia="宋体" w:cs="宋体"/>
          <w:sz w:val="24"/>
          <w:szCs w:val="36"/>
        </w:rPr>
        <w:t>本行</w:t>
      </w:r>
      <w:r>
        <w:rPr>
          <w:rFonts w:hint="eastAsia" w:ascii="Times New Roman" w:hAnsi="Times New Roman" w:eastAsia="宋体" w:cs="宋体"/>
          <w:sz w:val="24"/>
          <w:szCs w:val="36"/>
          <w:lang w:val="en-US" w:eastAsia="zh-CN"/>
        </w:rPr>
        <w:t>500万元以上客户</w:t>
      </w:r>
      <w:r>
        <w:rPr>
          <w:rFonts w:ascii="Times New Roman" w:hAnsi="Times New Roman" w:eastAsia="宋体" w:cs="宋体"/>
          <w:sz w:val="24"/>
          <w:szCs w:val="36"/>
        </w:rPr>
        <w:t>投融资碳排放量前十位行业</w:t>
      </w:r>
      <w:r>
        <w:rPr>
          <w:rFonts w:hint="eastAsia" w:ascii="Times New Roman" w:hAnsi="Times New Roman" w:eastAsia="宋体" w:cs="宋体"/>
          <w:sz w:val="24"/>
          <w:szCs w:val="36"/>
          <w:lang w:val="en-US" w:eastAsia="zh-CN"/>
        </w:rPr>
        <w:t>分别为</w:t>
      </w:r>
      <w:r>
        <w:rPr>
          <w:rFonts w:hint="eastAsia" w:ascii="Times New Roman" w:hAnsi="Times New Roman" w:eastAsia="宋体" w:cs="宋体"/>
          <w:sz w:val="24"/>
          <w:szCs w:val="36"/>
        </w:rPr>
        <w:t>房地产业、</w:t>
      </w:r>
      <w:r>
        <w:rPr>
          <w:rFonts w:hint="eastAsia" w:ascii="Times New Roman" w:hAnsi="Times New Roman" w:eastAsia="宋体" w:cs="宋体"/>
          <w:sz w:val="24"/>
          <w:szCs w:val="36"/>
          <w:lang w:val="en-US" w:eastAsia="zh-CN"/>
        </w:rPr>
        <w:t>金属制品、电力热力生产和供应业</w:t>
      </w:r>
      <w:r>
        <w:rPr>
          <w:rFonts w:hint="eastAsia" w:ascii="Times New Roman" w:hAnsi="Times New Roman" w:eastAsia="宋体" w:cs="宋体"/>
          <w:sz w:val="24"/>
          <w:szCs w:val="36"/>
          <w:lang w:eastAsia="zh-CN"/>
        </w:rPr>
        <w:t>、</w:t>
      </w:r>
      <w:r>
        <w:rPr>
          <w:rFonts w:hint="eastAsia" w:ascii="Times New Roman" w:hAnsi="Times New Roman" w:eastAsia="宋体" w:cs="宋体"/>
          <w:sz w:val="24"/>
          <w:szCs w:val="36"/>
        </w:rPr>
        <w:t>橡胶和塑料制品业、电气机械和器材制造业、非金属矿物制品业</w:t>
      </w:r>
      <w:r>
        <w:rPr>
          <w:rFonts w:hint="eastAsia" w:ascii="Times New Roman" w:hAnsi="Times New Roman" w:eastAsia="宋体" w:cs="宋体"/>
          <w:sz w:val="24"/>
          <w:szCs w:val="36"/>
          <w:lang w:eastAsia="zh-CN"/>
        </w:rPr>
        <w:t>、土木工程建筑业、化学原料和化学制品制造业、造纸和纸制品、铁路船舶和其他运输设备制造业。</w:t>
      </w:r>
      <w:r>
        <w:rPr>
          <w:rFonts w:hint="eastAsia" w:ascii="Times New Roman" w:hAnsi="Times New Roman" w:eastAsia="宋体" w:cs="宋体"/>
          <w:sz w:val="24"/>
          <w:szCs w:val="36"/>
        </w:rPr>
        <w:t>本行2</w:t>
      </w:r>
      <w:r>
        <w:rPr>
          <w:rFonts w:ascii="Times New Roman" w:hAnsi="Times New Roman" w:eastAsia="宋体" w:cs="宋体"/>
          <w:sz w:val="24"/>
          <w:szCs w:val="36"/>
        </w:rPr>
        <w:t>022</w:t>
      </w:r>
      <w:r>
        <w:rPr>
          <w:rFonts w:hint="eastAsia" w:ascii="Times New Roman" w:hAnsi="Times New Roman" w:eastAsia="宋体" w:cs="宋体"/>
          <w:sz w:val="24"/>
          <w:szCs w:val="36"/>
        </w:rPr>
        <w:t>年度投融资行业碳排放量如</w:t>
      </w:r>
      <w:r>
        <w:rPr>
          <w:rFonts w:hint="eastAsia" w:ascii="Times New Roman" w:hAnsi="Times New Roman" w:eastAsia="宋体" w:cs="宋体"/>
          <w:sz w:val="24"/>
          <w:szCs w:val="36"/>
          <w:lang w:val="en-US" w:eastAsia="zh-CN"/>
        </w:rPr>
        <w:t>下</w:t>
      </w:r>
      <w:r>
        <w:rPr>
          <w:rFonts w:hint="eastAsia" w:ascii="Times New Roman" w:hAnsi="Times New Roman" w:eastAsia="宋体" w:cs="宋体"/>
          <w:sz w:val="24"/>
          <w:szCs w:val="36"/>
        </w:rPr>
        <w:t>所示。</w:t>
      </w:r>
    </w:p>
    <w:p>
      <w:pPr>
        <w:pStyle w:val="2"/>
        <w:spacing w:line="360" w:lineRule="auto"/>
        <w:ind w:left="0" w:leftChars="0" w:firstLine="0" w:firstLineChars="0"/>
        <w:jc w:val="center"/>
        <w:rPr>
          <w:rFonts w:hint="default" w:ascii="Times New Roman" w:hAnsi="Times New Roman" w:eastAsia="黑体" w:cs="宋体"/>
          <w:highlight w:val="none"/>
        </w:rPr>
      </w:pPr>
      <w:r>
        <w:rPr>
          <w:rFonts w:hint="default" w:ascii="Times New Roman" w:hAnsi="Times New Roman" w:eastAsia="黑体" w:cs="宋体"/>
          <w:highlight w:val="none"/>
        </w:rPr>
        <w:t xml:space="preserve">   </w:t>
      </w:r>
      <w:r>
        <w:rPr>
          <w:rFonts w:ascii="Times New Roman" w:hAnsi="Times New Roman" w:eastAsia="黑体" w:cs="宋体"/>
          <w:highlight w:val="none"/>
        </w:rPr>
        <w:t>表</w:t>
      </w:r>
      <w:r>
        <w:rPr>
          <w:rFonts w:hint="default" w:ascii="Times New Roman" w:hAnsi="Times New Roman" w:eastAsia="黑体" w:cs="宋体"/>
          <w:highlight w:val="none"/>
        </w:rPr>
        <w:t>7-3</w:t>
      </w:r>
      <w:r>
        <w:rPr>
          <w:rFonts w:ascii="Times New Roman" w:hAnsi="Times New Roman" w:eastAsia="黑体" w:cs="宋体"/>
          <w:highlight w:val="none"/>
        </w:rPr>
        <w:t>：江门农商银行投融资行业碳排放量</w:t>
      </w:r>
      <w:r>
        <w:rPr>
          <w:rFonts w:hint="default" w:ascii="Times New Roman" w:hAnsi="Times New Roman" w:eastAsia="黑体" w:cs="宋体"/>
          <w:highlight w:val="none"/>
        </w:rPr>
        <w:t>(2022</w:t>
      </w:r>
      <w:r>
        <w:rPr>
          <w:rFonts w:ascii="Times New Roman" w:hAnsi="Times New Roman" w:eastAsia="黑体" w:cs="宋体"/>
          <w:highlight w:val="none"/>
        </w:rPr>
        <w:t>年度</w:t>
      </w:r>
      <w:r>
        <w:rPr>
          <w:rFonts w:hint="default" w:ascii="Times New Roman" w:hAnsi="Times New Roman" w:eastAsia="黑体" w:cs="宋体"/>
          <w:highlight w:val="none"/>
        </w:rPr>
        <w:t>)</w:t>
      </w:r>
      <w:r>
        <w:rPr>
          <w:rStyle w:val="29"/>
          <w:rFonts w:hint="default" w:ascii="Times New Roman" w:hAnsi="Times New Roman" w:eastAsia="黑体" w:cs="宋体"/>
          <w:highlight w:val="none"/>
        </w:rPr>
        <w:footnoteReference w:id="0"/>
      </w:r>
    </w:p>
    <w:tbl>
      <w:tblPr>
        <w:tblStyle w:val="70"/>
        <w:tblW w:w="6443" w:type="dxa"/>
        <w:jc w:val="cente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2714"/>
        <w:gridCol w:w="3729"/>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noWrap/>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行业类型</w:t>
            </w:r>
          </w:p>
        </w:tc>
        <w:tc>
          <w:tcPr>
            <w:tcW w:w="3729" w:type="dxa"/>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noWrap/>
          </w:tcPr>
          <w:p>
            <w:pPr>
              <w:widowControl/>
              <w:spacing w:line="360" w:lineRule="auto"/>
              <w:jc w:val="center"/>
              <w:rPr>
                <w:rFonts w:ascii="Times New Roman" w:hAnsi="Times New Roman" w:eastAsia="宋体" w:cs="宋体"/>
                <w:b/>
                <w:bCs/>
                <w:color w:val="000000"/>
                <w:kern w:val="0"/>
                <w:szCs w:val="21"/>
              </w:rPr>
            </w:pPr>
            <w:r>
              <w:rPr>
                <w:rFonts w:ascii="Times New Roman" w:hAnsi="Times New Roman" w:eastAsia="宋体" w:cs="宋体"/>
                <w:b/>
                <w:bCs/>
                <w:color w:val="000000"/>
                <w:kern w:val="0"/>
                <w:szCs w:val="21"/>
              </w:rPr>
              <w:t>2022年度碳排放量</w:t>
            </w:r>
            <w:r>
              <w:rPr>
                <w:rFonts w:hint="eastAsia" w:ascii="Times New Roman" w:hAnsi="Times New Roman" w:eastAsia="宋体" w:cs="宋体"/>
                <w:b/>
                <w:bCs/>
                <w:color w:val="000000"/>
                <w:kern w:val="0"/>
                <w:szCs w:val="21"/>
              </w:rPr>
              <w:t>（吨）</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shd w:val="clear" w:color="auto" w:fill="DEEAF6" w:themeFill="accent5" w:themeFillTint="33"/>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房地产业</w:t>
            </w:r>
          </w:p>
        </w:tc>
        <w:tc>
          <w:tcPr>
            <w:tcW w:w="3729" w:type="dxa"/>
            <w:shd w:val="clear" w:color="auto" w:fill="DEEAF6" w:themeFill="accent5" w:themeFillTint="33"/>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879</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230</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184</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noWrap/>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金属制品</w:t>
            </w:r>
          </w:p>
        </w:tc>
        <w:tc>
          <w:tcPr>
            <w:tcW w:w="3729" w:type="dxa"/>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572</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150</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444</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shd w:val="clear" w:color="auto" w:fill="DEEAF6" w:themeFill="accent5" w:themeFillTint="33"/>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lang w:val="en-US" w:eastAsia="zh-CN"/>
              </w:rPr>
              <w:t>电力热力生产和供应业</w:t>
            </w:r>
          </w:p>
        </w:tc>
        <w:tc>
          <w:tcPr>
            <w:tcW w:w="3729" w:type="dxa"/>
            <w:shd w:val="clear" w:color="auto" w:fill="DEEAF6" w:themeFill="accent5" w:themeFillTint="33"/>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485</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606</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750</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橡胶和塑料制品业</w:t>
            </w:r>
          </w:p>
        </w:tc>
        <w:tc>
          <w:tcPr>
            <w:tcW w:w="3729" w:type="dxa"/>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893</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903</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549.6</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shd w:val="clear" w:color="auto" w:fill="DEEAF6" w:themeFill="accent5" w:themeFillTint="33"/>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电气机械和器材制造业</w:t>
            </w:r>
          </w:p>
        </w:tc>
        <w:tc>
          <w:tcPr>
            <w:tcW w:w="3729" w:type="dxa"/>
            <w:shd w:val="clear" w:color="auto" w:fill="DEEAF6" w:themeFill="accent5" w:themeFillTint="33"/>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878</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871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931.7</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非金属矿物制品业</w:t>
            </w:r>
          </w:p>
        </w:tc>
        <w:tc>
          <w:tcPr>
            <w:tcW w:w="3729" w:type="dxa"/>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863</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394</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046.5</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shd w:val="clear" w:color="auto" w:fill="DEEAF6" w:themeFill="accent5" w:themeFillTint="33"/>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lang w:eastAsia="zh-CN"/>
              </w:rPr>
              <w:t>土木工程建筑业</w:t>
            </w:r>
          </w:p>
        </w:tc>
        <w:tc>
          <w:tcPr>
            <w:tcW w:w="3729" w:type="dxa"/>
            <w:shd w:val="clear" w:color="auto" w:fill="DEEAF6" w:themeFill="accent5" w:themeFillTint="33"/>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658</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184</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642.1</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lang w:eastAsia="zh-CN"/>
              </w:rPr>
              <w:t>化学原料和化学制品制造</w:t>
            </w:r>
          </w:p>
        </w:tc>
        <w:tc>
          <w:tcPr>
            <w:tcW w:w="3729" w:type="dxa"/>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625</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318</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117.5</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shd w:val="clear" w:color="auto" w:fill="DEEAF6" w:themeFill="accent5" w:themeFillTint="33"/>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lang w:eastAsia="zh-CN"/>
              </w:rPr>
              <w:t>造纸和纸制品</w:t>
            </w:r>
          </w:p>
        </w:tc>
        <w:tc>
          <w:tcPr>
            <w:tcW w:w="3729" w:type="dxa"/>
            <w:shd w:val="clear" w:color="auto" w:fill="DEEAF6" w:themeFill="accent5" w:themeFillTint="33"/>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536</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592</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576.5</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283" w:hRule="atLeast"/>
          <w:jc w:val="center"/>
        </w:trPr>
        <w:tc>
          <w:tcPr>
            <w:tcW w:w="2714" w:type="dxa"/>
            <w:noWrap/>
          </w:tcPr>
          <w:p>
            <w:pPr>
              <w:widowControl/>
              <w:spacing w:line="360" w:lineRule="auto"/>
              <w:jc w:val="center"/>
              <w:rPr>
                <w:rFonts w:hint="eastAsia"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lang w:eastAsia="zh-CN"/>
              </w:rPr>
              <w:t>铁路和其他运输设备制造</w:t>
            </w:r>
          </w:p>
        </w:tc>
        <w:tc>
          <w:tcPr>
            <w:tcW w:w="3729" w:type="dxa"/>
            <w:noWrap/>
            <w:vAlign w:val="bottom"/>
          </w:tcPr>
          <w:p>
            <w:pPr>
              <w:keepNext w:val="0"/>
              <w:keepLines w:val="0"/>
              <w:widowControl/>
              <w:suppressLineNumbers w:val="0"/>
              <w:jc w:val="right"/>
              <w:textAlignment w:val="bottom"/>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479</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448</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870.5</w:t>
            </w:r>
          </w:p>
        </w:tc>
      </w:tr>
    </w:tbl>
    <w:p>
      <w:pPr>
        <w:spacing w:line="360" w:lineRule="auto"/>
        <w:ind w:firstLine="480" w:firstLineChars="200"/>
        <w:rPr>
          <w:rFonts w:ascii="Times New Roman" w:hAnsi="Times New Roman" w:eastAsia="宋体" w:cs="宋体"/>
          <w:sz w:val="24"/>
          <w:szCs w:val="36"/>
        </w:rPr>
      </w:pPr>
    </w:p>
    <w:p>
      <w:pPr>
        <w:spacing w:line="360" w:lineRule="auto"/>
        <w:ind w:firstLine="420" w:firstLineChars="200"/>
        <w:jc w:val="center"/>
        <w:rPr>
          <w:rFonts w:ascii="Times New Roman" w:hAnsi="Times New Roman" w:eastAsia="黑体" w:cs="宋体"/>
        </w:rPr>
      </w:pPr>
    </w:p>
    <w:p>
      <w:pPr>
        <w:spacing w:line="360" w:lineRule="auto"/>
        <w:ind w:firstLine="420" w:firstLineChars="200"/>
        <w:jc w:val="center"/>
        <w:rPr>
          <w:rFonts w:ascii="Times New Roman" w:hAnsi="Times New Roman" w:eastAsia="黑体" w:cs="宋体"/>
        </w:rPr>
      </w:pPr>
    </w:p>
    <w:p>
      <w:pPr>
        <w:spacing w:line="360" w:lineRule="auto"/>
        <w:ind w:firstLine="420" w:firstLineChars="200"/>
        <w:jc w:val="center"/>
        <w:rPr>
          <w:rFonts w:ascii="Times New Roman" w:hAnsi="Times New Roman" w:eastAsia="宋体" w:cs="宋体"/>
          <w:sz w:val="24"/>
          <w:szCs w:val="36"/>
          <w:highlight w:val="none"/>
        </w:rPr>
      </w:pPr>
      <w:r>
        <w:rPr>
          <w:rFonts w:ascii="Times New Roman" w:hAnsi="Times New Roman" w:eastAsia="黑体" w:cs="宋体"/>
          <w:highlight w:val="none"/>
        </w:rPr>
        <w:t>表</w:t>
      </w:r>
      <w:r>
        <w:rPr>
          <w:rFonts w:hint="default" w:ascii="Times New Roman" w:hAnsi="Times New Roman" w:eastAsia="黑体" w:cs="宋体"/>
          <w:highlight w:val="none"/>
        </w:rPr>
        <w:t>7-</w:t>
      </w:r>
      <w:r>
        <w:rPr>
          <w:rFonts w:hint="eastAsia" w:ascii="Times New Roman" w:hAnsi="Times New Roman" w:eastAsia="黑体" w:cs="宋体"/>
          <w:highlight w:val="none"/>
          <w:lang w:val="en-US" w:eastAsia="zh-CN"/>
        </w:rPr>
        <w:t>4</w:t>
      </w:r>
      <w:r>
        <w:rPr>
          <w:rFonts w:ascii="Times New Roman" w:hAnsi="Times New Roman" w:eastAsia="黑体" w:cs="宋体"/>
          <w:highlight w:val="none"/>
        </w:rPr>
        <w:t>：江门农商银行投融资</w:t>
      </w:r>
      <w:r>
        <w:rPr>
          <w:rFonts w:hint="eastAsia" w:ascii="Times New Roman" w:hAnsi="Times New Roman" w:eastAsia="黑体" w:cs="宋体"/>
          <w:highlight w:val="none"/>
          <w:lang w:val="en-US" w:eastAsia="zh-CN"/>
        </w:rPr>
        <w:t>活动产生的影响</w:t>
      </w:r>
      <w:r>
        <w:rPr>
          <w:rFonts w:hint="default" w:ascii="Times New Roman" w:hAnsi="Times New Roman" w:eastAsia="黑体" w:cs="宋体"/>
          <w:highlight w:val="none"/>
        </w:rPr>
        <w:t>(2022</w:t>
      </w:r>
      <w:r>
        <w:rPr>
          <w:rFonts w:ascii="Times New Roman" w:hAnsi="Times New Roman" w:eastAsia="黑体" w:cs="宋体"/>
          <w:highlight w:val="none"/>
        </w:rPr>
        <w:t>年度</w:t>
      </w:r>
      <w:r>
        <w:rPr>
          <w:rFonts w:hint="default" w:ascii="Times New Roman" w:hAnsi="Times New Roman" w:eastAsia="黑体" w:cs="宋体"/>
          <w:highlight w:val="none"/>
        </w:rPr>
        <w:t>)</w:t>
      </w:r>
    </w:p>
    <w:tbl>
      <w:tblPr>
        <w:tblStyle w:val="70"/>
        <w:tblW w:w="5000" w:type="pct"/>
        <w:jc w:val="cente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2004"/>
        <w:gridCol w:w="4822"/>
        <w:gridCol w:w="1696"/>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noWrap/>
            <w:vAlign w:val="center"/>
          </w:tcPr>
          <w:p>
            <w:pPr>
              <w:widowControl/>
              <w:spacing w:line="360" w:lineRule="auto"/>
              <w:rPr>
                <w:rFonts w:ascii="Times New Roman" w:hAnsi="Times New Roman" w:eastAsia="宋体"/>
                <w:b/>
                <w:bCs/>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kern w:val="0"/>
                <w:szCs w:val="21"/>
                <w:lang w:val="en-US" w:eastAsia="zh-CN"/>
                <w14:textFill>
                  <w14:solidFill>
                    <w14:schemeClr w14:val="bg1"/>
                  </w14:solidFill>
                </w14:textFill>
              </w:rPr>
              <w:t>指标</w:t>
            </w:r>
            <w:r>
              <w:rPr>
                <w:rFonts w:hint="eastAsia" w:ascii="Times New Roman" w:hAnsi="Times New Roman" w:eastAsia="宋体" w:cs="宋体"/>
                <w:b/>
                <w:bCs/>
                <w:color w:val="FFFFFF" w:themeColor="background1"/>
                <w:kern w:val="0"/>
                <w:szCs w:val="21"/>
                <w14:textFill>
                  <w14:solidFill>
                    <w14:schemeClr w14:val="bg1"/>
                  </w14:solidFill>
                </w14:textFill>
              </w:rPr>
              <w:t>名称</w:t>
            </w:r>
          </w:p>
        </w:tc>
        <w:tc>
          <w:tcPr>
            <w:tcW w:w="2829" w:type="pct"/>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widowControl/>
              <w:spacing w:line="360" w:lineRule="auto"/>
              <w:jc w:val="center"/>
              <w:rPr>
                <w:rFonts w:hint="default" w:ascii="Times New Roman" w:hAnsi="Times New Roman" w:eastAsia="宋体"/>
                <w:b/>
                <w:bCs/>
                <w:color w:val="FFFFFF" w:themeColor="background1"/>
                <w:szCs w:val="21"/>
                <w:lang w:val="en-US" w:eastAsia="zh-CN"/>
                <w14:textFill>
                  <w14:solidFill>
                    <w14:schemeClr w14:val="bg1"/>
                  </w14:solidFill>
                </w14:textFill>
              </w:rPr>
            </w:pPr>
            <w:r>
              <w:rPr>
                <w:rFonts w:hint="eastAsia" w:ascii="Times New Roman" w:hAnsi="Times New Roman" w:eastAsia="宋体" w:cs="Times New Roman"/>
                <w:b/>
                <w:bCs/>
                <w:color w:val="FFFFFF" w:themeColor="background1"/>
                <w:kern w:val="0"/>
                <w:szCs w:val="21"/>
                <w:lang w:val="en-US" w:eastAsia="zh-CN"/>
                <w14:textFill>
                  <w14:solidFill>
                    <w14:schemeClr w14:val="bg1"/>
                  </w14:solidFill>
                </w14:textFill>
              </w:rPr>
              <w:t>披露事项</w:t>
            </w:r>
          </w:p>
        </w:tc>
        <w:tc>
          <w:tcPr>
            <w:tcW w:w="995" w:type="pct"/>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jc w:val="center"/>
              <w:rPr>
                <w:rFonts w:ascii="Times New Roman" w:hAnsi="Times New Roman" w:eastAsia="宋体"/>
                <w:b/>
                <w:bCs/>
                <w:color w:val="FFFFFF" w:themeColor="background1"/>
                <w:szCs w:val="21"/>
                <w14:textFill>
                  <w14:solidFill>
                    <w14:schemeClr w14:val="bg1"/>
                  </w14:solidFill>
                </w14:textFill>
              </w:rPr>
            </w:pPr>
            <w:r>
              <w:rPr>
                <w:rFonts w:hint="eastAsia" w:ascii="Times New Roman" w:hAnsi="Times New Roman" w:eastAsia="宋体"/>
                <w:b/>
                <w:bCs/>
                <w:color w:val="FFFFFF" w:themeColor="background1"/>
                <w:szCs w:val="21"/>
                <w:lang w:val="en-US" w:eastAsia="zh-CN"/>
                <w14:textFill>
                  <w14:solidFill>
                    <w14:schemeClr w14:val="bg1"/>
                  </w14:solidFill>
                </w14:textFill>
              </w:rPr>
              <w:t>2022年</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vMerge w:val="restart"/>
            <w:shd w:val="clear" w:color="auto" w:fill="DEEAF6" w:themeFill="accent5" w:themeFillTint="33"/>
            <w:noWrap/>
            <w:vAlign w:val="center"/>
          </w:tcPr>
          <w:p>
            <w:pPr>
              <w:widowControl/>
              <w:spacing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auto"/>
                <w:sz w:val="21"/>
                <w:szCs w:val="21"/>
              </w:rPr>
              <w:t>投融资活动产生的环境影响</w:t>
            </w:r>
          </w:p>
        </w:tc>
        <w:tc>
          <w:tcPr>
            <w:tcW w:w="2829" w:type="pct"/>
            <w:shd w:val="clear" w:color="auto" w:fill="DEEAF6" w:themeFill="accent5" w:themeFillTint="33"/>
            <w:vAlign w:val="center"/>
          </w:tcPr>
          <w:p>
            <w:pPr>
              <w:widowControl/>
              <w:spacing w:line="360" w:lineRule="auto"/>
              <w:rPr>
                <w:rFonts w:hint="eastAsia" w:ascii="宋体" w:hAnsi="宋体" w:eastAsia="宋体" w:cs="宋体"/>
                <w:b/>
                <w:bCs w:val="0"/>
                <w:color w:val="000000"/>
                <w:sz w:val="21"/>
                <w:szCs w:val="21"/>
              </w:rPr>
            </w:pPr>
            <w:r>
              <w:rPr>
                <w:rFonts w:hint="eastAsia" w:ascii="宋体" w:hAnsi="宋体" w:eastAsia="宋体" w:cs="宋体"/>
                <w:b/>
                <w:bCs w:val="0"/>
                <w:kern w:val="2"/>
                <w:sz w:val="21"/>
                <w:szCs w:val="21"/>
                <w:lang w:val="en-US" w:eastAsia="zh-CN"/>
              </w:rPr>
              <w:t>参与测算</w:t>
            </w:r>
            <w:r>
              <w:rPr>
                <w:rFonts w:hint="eastAsia" w:ascii="宋体" w:hAnsi="宋体" w:eastAsia="宋体" w:cs="宋体"/>
                <w:b/>
                <w:bCs w:val="0"/>
                <w:kern w:val="2"/>
                <w:sz w:val="21"/>
                <w:szCs w:val="21"/>
              </w:rPr>
              <w:t>融资业务总余额（</w:t>
            </w:r>
            <w:r>
              <w:rPr>
                <w:rFonts w:hint="eastAsia" w:ascii="宋体" w:hAnsi="宋体" w:eastAsia="宋体" w:cs="宋体"/>
                <w:b/>
                <w:bCs w:val="0"/>
                <w:kern w:val="2"/>
                <w:sz w:val="21"/>
                <w:szCs w:val="21"/>
                <w:lang w:val="en-US" w:eastAsia="zh-CN"/>
              </w:rPr>
              <w:t>亿</w:t>
            </w:r>
            <w:r>
              <w:rPr>
                <w:rFonts w:hint="eastAsia" w:ascii="宋体" w:hAnsi="宋体" w:eastAsia="宋体" w:cs="宋体"/>
                <w:b/>
                <w:bCs w:val="0"/>
                <w:kern w:val="2"/>
                <w:sz w:val="21"/>
                <w:szCs w:val="21"/>
              </w:rPr>
              <w:t>元）</w:t>
            </w:r>
          </w:p>
        </w:tc>
        <w:tc>
          <w:tcPr>
            <w:tcW w:w="995" w:type="pct"/>
            <w:shd w:val="clear" w:color="auto" w:fill="DEEAF6" w:themeFill="accent5" w:themeFillTint="33"/>
            <w:vAlign w:val="center"/>
          </w:tcPr>
          <w:p>
            <w:pPr>
              <w:spacing w:line="360" w:lineRule="auto"/>
              <w:jc w:val="right"/>
              <w:rPr>
                <w:rFonts w:hint="default" w:ascii="Times New Roman" w:hAnsi="Times New Roman" w:eastAsia="宋体" w:cs="Times New Roman"/>
                <w:color w:val="000000"/>
                <w:sz w:val="21"/>
                <w:szCs w:val="21"/>
              </w:rPr>
            </w:pPr>
            <w:r>
              <w:rPr>
                <w:rFonts w:hint="default" w:ascii="Times New Roman" w:hAnsi="Times New Roman" w:cs="Times New Roman" w:eastAsiaTheme="minorEastAsia"/>
                <w:sz w:val="21"/>
                <w:szCs w:val="21"/>
              </w:rPr>
              <w:t>364</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lang w:val="en-US" w:eastAsia="zh-CN"/>
              </w:rPr>
              <w:t>2</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vMerge w:val="continue"/>
            <w:noWrap/>
            <w:vAlign w:val="center"/>
          </w:tcPr>
          <w:p>
            <w:pPr>
              <w:widowControl/>
              <w:spacing w:line="360" w:lineRule="auto"/>
              <w:rPr>
                <w:rFonts w:hint="eastAsia" w:ascii="宋体" w:hAnsi="宋体" w:eastAsia="宋体" w:cs="宋体"/>
                <w:b/>
                <w:bCs w:val="0"/>
                <w:color w:val="000000"/>
                <w:kern w:val="0"/>
                <w:sz w:val="21"/>
                <w:szCs w:val="21"/>
              </w:rPr>
            </w:pPr>
          </w:p>
        </w:tc>
        <w:tc>
          <w:tcPr>
            <w:tcW w:w="2829" w:type="pct"/>
            <w:shd w:val="clear" w:color="auto" w:fill="DEEBF6" w:themeFill="accent5" w:themeFillTint="32"/>
            <w:vAlign w:val="center"/>
          </w:tcPr>
          <w:p>
            <w:pPr>
              <w:spacing w:line="360" w:lineRule="auto"/>
              <w:rPr>
                <w:rFonts w:hint="eastAsia" w:ascii="宋体" w:hAnsi="宋体" w:eastAsia="宋体" w:cs="宋体"/>
                <w:b/>
                <w:bCs w:val="0"/>
                <w:sz w:val="21"/>
                <w:szCs w:val="21"/>
              </w:rPr>
            </w:pPr>
            <w:r>
              <w:rPr>
                <w:rFonts w:hint="eastAsia" w:ascii="宋体" w:hAnsi="宋体" w:eastAsia="宋体" w:cs="宋体"/>
                <w:b/>
                <w:bCs w:val="0"/>
                <w:kern w:val="2"/>
                <w:sz w:val="21"/>
                <w:szCs w:val="21"/>
              </w:rPr>
              <w:t>折合排放二氧化碳当量</w:t>
            </w: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万</w:t>
            </w:r>
            <w:r>
              <w:rPr>
                <w:rFonts w:hint="eastAsia" w:ascii="宋体" w:hAnsi="宋体" w:eastAsia="宋体" w:cs="宋体"/>
                <w:b/>
                <w:bCs w:val="0"/>
                <w:sz w:val="21"/>
                <w:szCs w:val="21"/>
              </w:rPr>
              <w:t>吨）</w:t>
            </w:r>
          </w:p>
        </w:tc>
        <w:tc>
          <w:tcPr>
            <w:tcW w:w="995" w:type="pct"/>
            <w:shd w:val="clear" w:color="auto" w:fill="DEEBF6" w:themeFill="accent5" w:themeFillTint="32"/>
            <w:vAlign w:val="center"/>
          </w:tcPr>
          <w:p>
            <w:pPr>
              <w:spacing w:line="360" w:lineRule="auto"/>
              <w:jc w:val="right"/>
              <w:rPr>
                <w:rFonts w:hint="default" w:ascii="Times New Roman" w:hAnsi="Times New Roman" w:eastAsia="宋体" w:cs="Times New Roman"/>
                <w:sz w:val="21"/>
                <w:szCs w:val="21"/>
              </w:rPr>
            </w:pPr>
            <w:r>
              <w:rPr>
                <w:rFonts w:hint="default" w:ascii="Times New Roman" w:hAnsi="Times New Roman" w:cs="Times New Roman" w:eastAsiaTheme="minorEastAsia"/>
                <w:sz w:val="21"/>
                <w:szCs w:val="21"/>
              </w:rPr>
              <w:t>1</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505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720.59</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vMerge w:val="continue"/>
            <w:shd w:val="clear" w:color="auto" w:fill="DEEAF6" w:themeFill="accent5" w:themeFillTint="33"/>
            <w:noWrap/>
            <w:vAlign w:val="center"/>
          </w:tcPr>
          <w:p>
            <w:pPr>
              <w:widowControl/>
              <w:spacing w:line="360" w:lineRule="auto"/>
              <w:rPr>
                <w:rFonts w:hint="eastAsia" w:ascii="宋体" w:hAnsi="宋体" w:eastAsia="宋体" w:cs="宋体"/>
                <w:b/>
                <w:bCs w:val="0"/>
                <w:color w:val="000000"/>
                <w:kern w:val="0"/>
                <w:sz w:val="21"/>
                <w:szCs w:val="21"/>
              </w:rPr>
            </w:pPr>
          </w:p>
        </w:tc>
        <w:tc>
          <w:tcPr>
            <w:tcW w:w="2829" w:type="pct"/>
            <w:shd w:val="clear" w:color="auto" w:fill="DEEAF6" w:themeFill="accent5" w:themeFillTint="33"/>
            <w:vAlign w:val="center"/>
          </w:tcPr>
          <w:p>
            <w:pPr>
              <w:widowControl/>
              <w:spacing w:line="360" w:lineRule="auto"/>
              <w:rPr>
                <w:rFonts w:hint="eastAsia" w:ascii="宋体" w:hAnsi="宋体" w:eastAsia="宋体" w:cs="宋体"/>
                <w:b/>
                <w:bCs w:val="0"/>
                <w:color w:val="000000"/>
                <w:sz w:val="21"/>
                <w:szCs w:val="21"/>
              </w:rPr>
            </w:pPr>
            <w:r>
              <w:rPr>
                <w:rFonts w:hint="eastAsia" w:ascii="宋体" w:hAnsi="宋体" w:eastAsia="宋体" w:cs="宋体"/>
                <w:b/>
                <w:bCs w:val="0"/>
                <w:kern w:val="2"/>
                <w:sz w:val="21"/>
                <w:szCs w:val="21"/>
              </w:rPr>
              <w:t>参与核算项目占全部融资业务的比例（%）</w:t>
            </w:r>
          </w:p>
        </w:tc>
        <w:tc>
          <w:tcPr>
            <w:tcW w:w="995" w:type="pct"/>
            <w:shd w:val="clear" w:color="auto" w:fill="DEEAF6" w:themeFill="accent5" w:themeFillTint="33"/>
            <w:vAlign w:val="center"/>
          </w:tcPr>
          <w:p>
            <w:pPr>
              <w:widowControl/>
              <w:spacing w:line="360" w:lineRule="auto"/>
              <w:jc w:val="right"/>
              <w:rPr>
                <w:rFonts w:hint="default" w:ascii="Times New Roman" w:hAnsi="Times New Roman" w:eastAsia="宋体" w:cs="Times New Roman"/>
                <w:color w:val="000000"/>
                <w:sz w:val="21"/>
                <w:szCs w:val="21"/>
                <w:lang w:val="en-US"/>
              </w:rPr>
            </w:pPr>
            <w:r>
              <w:rPr>
                <w:rFonts w:hint="default" w:ascii="Times New Roman" w:hAnsi="Times New Roman" w:cs="Times New Roman"/>
                <w:sz w:val="21"/>
                <w:szCs w:val="21"/>
                <w:lang w:val="en-US" w:eastAsia="zh-CN"/>
              </w:rPr>
              <w:t>51.53</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vMerge w:val="restart"/>
            <w:noWrap/>
            <w:vAlign w:val="center"/>
          </w:tcPr>
          <w:p>
            <w:pPr>
              <w:widowControl/>
              <w:spacing w:line="360" w:lineRule="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auto"/>
                <w:sz w:val="21"/>
                <w:szCs w:val="21"/>
                <w:lang w:val="en-US" w:eastAsia="zh-CN"/>
              </w:rPr>
              <w:t>十大行业</w:t>
            </w:r>
            <w:r>
              <w:rPr>
                <w:rFonts w:hint="eastAsia" w:ascii="宋体" w:hAnsi="宋体" w:eastAsia="宋体" w:cs="宋体"/>
                <w:b/>
                <w:bCs w:val="0"/>
                <w:color w:val="auto"/>
                <w:sz w:val="21"/>
                <w:szCs w:val="21"/>
              </w:rPr>
              <w:t>投融资所产生的的环境影响</w:t>
            </w:r>
          </w:p>
        </w:tc>
        <w:tc>
          <w:tcPr>
            <w:tcW w:w="2829" w:type="pct"/>
            <w:vAlign w:val="center"/>
          </w:tcPr>
          <w:p>
            <w:pPr>
              <w:widowControl/>
              <w:spacing w:line="360" w:lineRule="auto"/>
              <w:rPr>
                <w:rFonts w:hint="eastAsia" w:ascii="宋体" w:hAnsi="宋体" w:eastAsia="宋体" w:cs="宋体"/>
                <w:b/>
                <w:bCs w:val="0"/>
                <w:color w:val="000000"/>
                <w:sz w:val="21"/>
                <w:szCs w:val="21"/>
              </w:rPr>
            </w:pPr>
            <w:r>
              <w:rPr>
                <w:rFonts w:hint="eastAsia" w:ascii="宋体" w:hAnsi="宋体" w:eastAsia="宋体" w:cs="宋体"/>
                <w:b/>
                <w:bCs w:val="0"/>
                <w:kern w:val="2"/>
                <w:sz w:val="21"/>
                <w:szCs w:val="21"/>
                <w:lang w:val="en-US" w:eastAsia="zh-CN"/>
              </w:rPr>
              <w:t>十</w:t>
            </w:r>
            <w:r>
              <w:rPr>
                <w:rFonts w:hint="eastAsia" w:ascii="宋体" w:hAnsi="宋体" w:eastAsia="宋体" w:cs="宋体"/>
                <w:b/>
                <w:bCs w:val="0"/>
                <w:kern w:val="2"/>
                <w:sz w:val="21"/>
                <w:szCs w:val="21"/>
              </w:rPr>
              <w:t>大行业贷款余额（</w:t>
            </w:r>
            <w:r>
              <w:rPr>
                <w:rFonts w:hint="eastAsia" w:ascii="宋体" w:hAnsi="宋体" w:eastAsia="宋体" w:cs="宋体"/>
                <w:b/>
                <w:bCs w:val="0"/>
                <w:kern w:val="2"/>
                <w:sz w:val="21"/>
                <w:szCs w:val="21"/>
                <w:lang w:val="en-US" w:eastAsia="zh-CN"/>
              </w:rPr>
              <w:t>亿</w:t>
            </w:r>
            <w:r>
              <w:rPr>
                <w:rFonts w:hint="eastAsia" w:ascii="宋体" w:hAnsi="宋体" w:eastAsia="宋体" w:cs="宋体"/>
                <w:b/>
                <w:bCs w:val="0"/>
                <w:kern w:val="2"/>
                <w:sz w:val="21"/>
                <w:szCs w:val="21"/>
              </w:rPr>
              <w:t>元）</w:t>
            </w:r>
          </w:p>
        </w:tc>
        <w:tc>
          <w:tcPr>
            <w:tcW w:w="995" w:type="pct"/>
            <w:vAlign w:val="center"/>
          </w:tcPr>
          <w:p>
            <w:pPr>
              <w:spacing w:line="360" w:lineRule="auto"/>
              <w:jc w:val="right"/>
              <w:rPr>
                <w:rFonts w:hint="default"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174.12</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vMerge w:val="continue"/>
            <w:noWrap/>
            <w:vAlign w:val="center"/>
          </w:tcPr>
          <w:p>
            <w:pPr>
              <w:widowControl/>
              <w:spacing w:line="360" w:lineRule="auto"/>
              <w:rPr>
                <w:rFonts w:hint="eastAsia" w:ascii="宋体" w:hAnsi="宋体" w:eastAsia="宋体" w:cs="宋体"/>
                <w:b/>
                <w:bCs w:val="0"/>
                <w:color w:val="auto"/>
                <w:sz w:val="21"/>
                <w:szCs w:val="21"/>
                <w:lang w:val="en-US" w:eastAsia="zh-CN"/>
              </w:rPr>
            </w:pPr>
          </w:p>
        </w:tc>
        <w:tc>
          <w:tcPr>
            <w:tcW w:w="2829" w:type="pct"/>
            <w:vAlign w:val="center"/>
          </w:tcPr>
          <w:p>
            <w:pPr>
              <w:widowControl/>
              <w:spacing w:line="360" w:lineRule="auto"/>
              <w:rPr>
                <w:rFonts w:hint="eastAsia" w:ascii="宋体" w:hAnsi="宋体" w:eastAsia="宋体" w:cs="宋体"/>
                <w:b/>
                <w:bCs w:val="0"/>
                <w:color w:val="000000"/>
                <w:sz w:val="21"/>
                <w:szCs w:val="21"/>
              </w:rPr>
            </w:pPr>
            <w:r>
              <w:rPr>
                <w:rFonts w:hint="eastAsia" w:ascii="宋体" w:hAnsi="宋体" w:eastAsia="宋体" w:cs="宋体"/>
                <w:b/>
                <w:bCs w:val="0"/>
                <w:kern w:val="2"/>
                <w:sz w:val="21"/>
                <w:szCs w:val="21"/>
                <w:lang w:val="en-US" w:eastAsia="zh-CN"/>
              </w:rPr>
              <w:t>十</w:t>
            </w:r>
            <w:r>
              <w:rPr>
                <w:rFonts w:hint="eastAsia" w:ascii="宋体" w:hAnsi="宋体" w:eastAsia="宋体" w:cs="宋体"/>
                <w:b/>
                <w:bCs w:val="0"/>
                <w:kern w:val="2"/>
                <w:sz w:val="21"/>
                <w:szCs w:val="21"/>
              </w:rPr>
              <w:t>大行业贷款占</w:t>
            </w:r>
            <w:r>
              <w:rPr>
                <w:rFonts w:hint="eastAsia" w:ascii="宋体" w:hAnsi="宋体" w:eastAsia="宋体" w:cs="宋体"/>
                <w:b/>
                <w:bCs w:val="0"/>
                <w:kern w:val="2"/>
                <w:sz w:val="21"/>
                <w:szCs w:val="21"/>
                <w:lang w:val="en-US" w:eastAsia="zh-CN"/>
              </w:rPr>
              <w:t>全部融资业务比例</w:t>
            </w:r>
            <w:r>
              <w:rPr>
                <w:rFonts w:hint="eastAsia" w:ascii="宋体" w:hAnsi="宋体" w:eastAsia="宋体" w:cs="宋体"/>
                <w:b/>
                <w:bCs w:val="0"/>
                <w:kern w:val="2"/>
                <w:sz w:val="21"/>
                <w:szCs w:val="21"/>
              </w:rPr>
              <w:t>（%）</w:t>
            </w:r>
          </w:p>
        </w:tc>
        <w:tc>
          <w:tcPr>
            <w:tcW w:w="995" w:type="pct"/>
            <w:vAlign w:val="center"/>
          </w:tcPr>
          <w:p>
            <w:pPr>
              <w:widowControl/>
              <w:spacing w:line="360" w:lineRule="auto"/>
              <w:jc w:val="righ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eastAsiaTheme="minorEastAsia"/>
                <w:sz w:val="21"/>
                <w:szCs w:val="21"/>
                <w:lang w:val="en-US" w:eastAsia="zh-CN"/>
              </w:rPr>
              <w:t>24.59</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458" w:hRule="atLeast"/>
          <w:jc w:val="center"/>
        </w:trPr>
        <w:tc>
          <w:tcPr>
            <w:tcW w:w="1175" w:type="pct"/>
            <w:vMerge w:val="continue"/>
            <w:noWrap/>
            <w:vAlign w:val="center"/>
          </w:tcPr>
          <w:p>
            <w:pPr>
              <w:widowControl/>
              <w:spacing w:line="360" w:lineRule="auto"/>
              <w:rPr>
                <w:rFonts w:hint="eastAsia" w:ascii="宋体" w:hAnsi="宋体" w:eastAsia="宋体" w:cs="宋体"/>
                <w:b/>
                <w:bCs w:val="0"/>
                <w:color w:val="auto"/>
                <w:sz w:val="21"/>
                <w:szCs w:val="21"/>
                <w:lang w:val="en-US" w:eastAsia="zh-CN"/>
              </w:rPr>
            </w:pPr>
          </w:p>
        </w:tc>
        <w:tc>
          <w:tcPr>
            <w:tcW w:w="2829" w:type="pct"/>
            <w:vAlign w:val="center"/>
          </w:tcPr>
          <w:p>
            <w:pPr>
              <w:widowControl/>
              <w:spacing w:line="360" w:lineRule="auto"/>
              <w:rPr>
                <w:rFonts w:hint="eastAsia" w:ascii="宋体" w:hAnsi="宋体" w:eastAsia="宋体" w:cs="宋体"/>
                <w:b/>
                <w:bCs w:val="0"/>
                <w:color w:val="000000"/>
                <w:sz w:val="21"/>
                <w:szCs w:val="21"/>
              </w:rPr>
            </w:pPr>
            <w:r>
              <w:rPr>
                <w:rFonts w:hint="eastAsia" w:ascii="宋体" w:hAnsi="宋体" w:eastAsia="宋体" w:cs="宋体"/>
                <w:b/>
                <w:bCs w:val="0"/>
                <w:kern w:val="2"/>
                <w:sz w:val="21"/>
                <w:szCs w:val="21"/>
              </w:rPr>
              <w:t>折合排放二氧化碳当量（</w:t>
            </w:r>
            <w:r>
              <w:rPr>
                <w:rFonts w:hint="eastAsia" w:ascii="宋体" w:hAnsi="宋体" w:eastAsia="宋体" w:cs="宋体"/>
                <w:b/>
                <w:bCs w:val="0"/>
                <w:kern w:val="2"/>
                <w:sz w:val="21"/>
                <w:szCs w:val="21"/>
                <w:lang w:val="en-US" w:eastAsia="zh-CN"/>
              </w:rPr>
              <w:t>万</w:t>
            </w:r>
            <w:r>
              <w:rPr>
                <w:rFonts w:hint="eastAsia" w:ascii="宋体" w:hAnsi="宋体" w:eastAsia="宋体" w:cs="宋体"/>
                <w:b/>
                <w:bCs w:val="0"/>
                <w:kern w:val="2"/>
                <w:sz w:val="21"/>
                <w:szCs w:val="21"/>
              </w:rPr>
              <w:t>吨）</w:t>
            </w:r>
          </w:p>
        </w:tc>
        <w:tc>
          <w:tcPr>
            <w:tcW w:w="995" w:type="pct"/>
            <w:vAlign w:val="center"/>
          </w:tcPr>
          <w:p>
            <w:pPr>
              <w:widowControl/>
              <w:spacing w:line="360" w:lineRule="auto"/>
              <w:jc w:val="righ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187</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270.11</w:t>
            </w:r>
          </w:p>
        </w:tc>
      </w:tr>
    </w:tbl>
    <w:p>
      <w:pPr>
        <w:pStyle w:val="2"/>
        <w:spacing w:line="360" w:lineRule="auto"/>
        <w:rPr>
          <w:rFonts w:hint="default" w:ascii="Times New Roman" w:hAnsi="Times New Roman" w:eastAsia="黑体" w:cs="宋体"/>
        </w:rPr>
      </w:pPr>
    </w:p>
    <w:p>
      <w:pPr>
        <w:pStyle w:val="5"/>
        <w:keepNext w:val="0"/>
        <w:keepLines w:val="0"/>
        <w:numPr>
          <w:ilvl w:val="0"/>
          <w:numId w:val="9"/>
        </w:numPr>
        <w:spacing w:line="360" w:lineRule="auto"/>
        <w:jc w:val="both"/>
        <w:rPr>
          <w:rFonts w:cstheme="minorBidi"/>
          <w:bCs w:val="0"/>
          <w:color w:val="2E75B6" w:themeColor="accent5" w:themeShade="BF"/>
        </w:rPr>
      </w:pPr>
      <w:bookmarkStart w:id="187" w:name="_Toc17753"/>
      <w:bookmarkStart w:id="188" w:name="_Toc24914"/>
      <w:bookmarkStart w:id="189" w:name="_Toc9721"/>
      <w:bookmarkStart w:id="190" w:name="_Toc12240"/>
      <w:bookmarkStart w:id="191" w:name="_Toc32435"/>
      <w:bookmarkStart w:id="192" w:name="_Toc5643"/>
      <w:bookmarkStart w:id="193" w:name="_Toc12136"/>
      <w:r>
        <w:rPr>
          <w:rFonts w:hint="eastAsia" w:cstheme="minorBidi"/>
          <w:bCs w:val="0"/>
          <w:color w:val="2E75B6" w:themeColor="accent5" w:themeShade="BF"/>
        </w:rPr>
        <w:t>投融资环境影响的测算与表达</w:t>
      </w:r>
      <w:bookmarkEnd w:id="187"/>
      <w:bookmarkEnd w:id="188"/>
      <w:bookmarkEnd w:id="189"/>
      <w:bookmarkEnd w:id="190"/>
      <w:bookmarkEnd w:id="191"/>
      <w:bookmarkEnd w:id="192"/>
      <w:bookmarkEnd w:id="193"/>
    </w:p>
    <w:p>
      <w:pPr>
        <w:spacing w:line="360" w:lineRule="auto"/>
        <w:ind w:firstLine="480" w:firstLineChars="200"/>
        <w:rPr>
          <w:rFonts w:ascii="Times New Roman" w:hAnsi="Times New Roman" w:eastAsia="宋体" w:cs="宋体"/>
          <w:sz w:val="24"/>
          <w:szCs w:val="36"/>
        </w:rPr>
      </w:pPr>
      <w:r>
        <w:rPr>
          <w:rFonts w:hint="eastAsia" w:ascii="Times New Roman" w:hAnsi="Times New Roman" w:eastAsia="宋体" w:cs="宋体"/>
          <w:sz w:val="24"/>
          <w:szCs w:val="36"/>
        </w:rPr>
        <w:t>详见附录2</w:t>
      </w:r>
      <w:r>
        <w:rPr>
          <w:rFonts w:ascii="Times New Roman" w:hAnsi="Times New Roman" w:eastAsia="宋体" w:cs="宋体"/>
          <w:sz w:val="24"/>
          <w:szCs w:val="36"/>
        </w:rPr>
        <w:t>.1</w:t>
      </w:r>
      <w:r>
        <w:rPr>
          <w:rFonts w:hint="eastAsia" w:ascii="Times New Roman" w:hAnsi="Times New Roman" w:eastAsia="宋体" w:cs="宋体"/>
          <w:sz w:val="24"/>
          <w:szCs w:val="36"/>
        </w:rPr>
        <w:t>。</w:t>
      </w:r>
    </w:p>
    <w:p>
      <w:pPr>
        <w:spacing w:line="360" w:lineRule="auto"/>
        <w:rPr>
          <w:rFonts w:ascii="Times New Roman" w:hAnsi="Times New Roman"/>
        </w:rPr>
      </w:pPr>
      <w:bookmarkStart w:id="194" w:name="_Toc113969332"/>
      <w:bookmarkStart w:id="195" w:name="_Toc20717"/>
      <w:bookmarkStart w:id="196" w:name="_Toc113969334"/>
    </w:p>
    <w:p>
      <w:pPr>
        <w:pStyle w:val="4"/>
        <w:spacing w:line="360" w:lineRule="auto"/>
        <w:rPr>
          <w:color w:val="2E75B6" w:themeColor="accent5" w:themeShade="BF"/>
        </w:rPr>
      </w:pPr>
      <w:bookmarkStart w:id="197" w:name="_Toc30985"/>
      <w:bookmarkStart w:id="198" w:name="_Toc21857"/>
      <w:bookmarkStart w:id="199" w:name="_Toc24838"/>
      <w:bookmarkStart w:id="200" w:name="_Toc15445"/>
      <w:bookmarkStart w:id="201" w:name="_Toc13309"/>
      <w:r>
        <w:rPr>
          <w:color w:val="2E75B6" w:themeColor="accent5" w:themeShade="BF"/>
        </w:rPr>
        <w:br w:type="page"/>
      </w:r>
    </w:p>
    <w:p>
      <w:pPr>
        <w:pStyle w:val="4"/>
        <w:spacing w:line="360" w:lineRule="auto"/>
        <w:rPr>
          <w:color w:val="2E75B6" w:themeColor="accent5" w:themeShade="BF"/>
        </w:rPr>
      </w:pPr>
      <w:bookmarkStart w:id="202" w:name="_Toc9719"/>
      <w:r>
        <w:rPr>
          <w:rFonts w:hint="eastAsia"/>
          <w:color w:val="2E75B6" w:themeColor="accent5" w:themeShade="BF"/>
        </w:rPr>
        <w:t>第八部分 经营活动的环境影响</w:t>
      </w:r>
      <w:bookmarkEnd w:id="194"/>
      <w:bookmarkEnd w:id="195"/>
      <w:bookmarkEnd w:id="197"/>
      <w:bookmarkEnd w:id="198"/>
      <w:bookmarkEnd w:id="199"/>
      <w:bookmarkEnd w:id="200"/>
      <w:bookmarkEnd w:id="201"/>
      <w:bookmarkEnd w:id="202"/>
      <w:bookmarkStart w:id="203" w:name="_Toc11752"/>
      <w:bookmarkStart w:id="204" w:name="_Toc114058295"/>
    </w:p>
    <w:p>
      <w:pPr>
        <w:spacing w:line="360" w:lineRule="auto"/>
        <w:rPr>
          <w:rFonts w:ascii="Times New Roman" w:hAnsi="Times New Roman" w:eastAsia="楷体" w:cs="Times New Roman"/>
          <w:color w:val="2E75B6" w:themeColor="accent5" w:themeShade="BF"/>
          <w:sz w:val="24"/>
          <w:szCs w:val="24"/>
        </w:rPr>
      </w:pPr>
      <w:bookmarkStart w:id="205" w:name="_Toc10719"/>
    </w:p>
    <w:p>
      <w:pPr>
        <w:pStyle w:val="5"/>
        <w:keepNext w:val="0"/>
        <w:keepLines w:val="0"/>
        <w:numPr>
          <w:ilvl w:val="0"/>
          <w:numId w:val="12"/>
        </w:numPr>
        <w:spacing w:line="360" w:lineRule="auto"/>
        <w:jc w:val="both"/>
        <w:rPr>
          <w:rFonts w:cstheme="minorBidi"/>
          <w:bCs w:val="0"/>
          <w:color w:val="2E75B6" w:themeColor="accent5" w:themeShade="BF"/>
        </w:rPr>
      </w:pPr>
      <w:bookmarkStart w:id="206" w:name="_Toc22503"/>
      <w:bookmarkStart w:id="207" w:name="_Toc19085"/>
      <w:bookmarkStart w:id="208" w:name="_Toc1205"/>
      <w:bookmarkStart w:id="209" w:name="_Toc10765"/>
      <w:bookmarkStart w:id="210" w:name="_Toc25134"/>
      <w:bookmarkStart w:id="211" w:name="_Toc13770"/>
      <w:bookmarkStart w:id="212" w:name="_Toc3161"/>
      <w:bookmarkStart w:id="213" w:name="_Toc27610"/>
      <w:bookmarkStart w:id="214" w:name="_Toc104799679"/>
      <w:bookmarkStart w:id="215" w:name="_Toc19604"/>
      <w:bookmarkStart w:id="216" w:name="_Toc8247"/>
      <w:bookmarkStart w:id="217" w:name="_Toc23958"/>
      <w:bookmarkStart w:id="218" w:name="_Toc933"/>
      <w:bookmarkStart w:id="219" w:name="_Toc14066"/>
      <w:bookmarkStart w:id="220" w:name="_Toc27738"/>
      <w:r>
        <w:rPr>
          <w:rFonts w:hint="eastAsia" w:cstheme="minorBidi"/>
          <w:bCs w:val="0"/>
          <w:color w:val="2E75B6" w:themeColor="accent5" w:themeShade="BF"/>
        </w:rPr>
        <w:t>经营活动产生的直接温室气体排放和直接自然资源消耗</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360" w:lineRule="auto"/>
        <w:ind w:firstLine="480" w:firstLineChars="200"/>
        <w:rPr>
          <w:rFonts w:ascii="Times New Roman" w:hAnsi="Times New Roman" w:eastAsia="宋体" w:cs="宋体"/>
          <w:sz w:val="24"/>
          <w:szCs w:val="36"/>
          <w:highlight w:val="none"/>
        </w:rPr>
      </w:pPr>
      <w:r>
        <w:rPr>
          <w:rFonts w:hint="eastAsia" w:ascii="Times New Roman" w:hAnsi="Times New Roman" w:eastAsia="宋体" w:cs="宋体"/>
          <w:sz w:val="24"/>
          <w:szCs w:val="36"/>
        </w:rPr>
        <w:t>经营活动产生的直接自然资源消耗方面，</w:t>
      </w:r>
      <w:r>
        <w:rPr>
          <w:rFonts w:ascii="Times New Roman" w:hAnsi="Times New Roman" w:eastAsia="宋体" w:cs="宋体"/>
          <w:sz w:val="24"/>
          <w:szCs w:val="36"/>
        </w:rPr>
        <w:t>2022</w:t>
      </w:r>
      <w:r>
        <w:rPr>
          <w:rFonts w:hint="eastAsia" w:ascii="Times New Roman" w:hAnsi="Times New Roman" w:eastAsia="宋体" w:cs="宋体"/>
          <w:sz w:val="24"/>
          <w:szCs w:val="36"/>
        </w:rPr>
        <w:t>年，</w:t>
      </w:r>
      <w:r>
        <w:rPr>
          <w:rFonts w:hint="eastAsia" w:ascii="Times New Roman" w:hAnsi="Times New Roman" w:eastAsia="宋体" w:cs="宋体"/>
          <w:sz w:val="24"/>
          <w:szCs w:val="32"/>
        </w:rPr>
        <w:t>本行</w:t>
      </w:r>
      <w:r>
        <w:rPr>
          <w:rFonts w:hint="eastAsia" w:ascii="Times New Roman" w:hAnsi="Times New Roman" w:eastAsia="宋体" w:cs="宋体"/>
          <w:sz w:val="24"/>
          <w:szCs w:val="36"/>
        </w:rPr>
        <w:t>自有交通运输工具消耗汽油</w:t>
      </w:r>
      <w:r>
        <w:rPr>
          <w:rFonts w:ascii="Times New Roman" w:hAnsi="Times New Roman" w:eastAsia="宋体" w:cs="宋体"/>
          <w:sz w:val="24"/>
          <w:szCs w:val="36"/>
        </w:rPr>
        <w:t>8</w:t>
      </w:r>
      <w:r>
        <w:rPr>
          <w:rFonts w:ascii="Times New Roman" w:hAnsi="Times New Roman" w:eastAsia="宋体" w:cs="宋体"/>
          <w:sz w:val="24"/>
          <w:szCs w:val="36"/>
          <w:lang w:eastAsia="zh-Hans"/>
        </w:rPr>
        <w:t>.48</w:t>
      </w:r>
      <w:r>
        <w:rPr>
          <w:rFonts w:hint="eastAsia" w:ascii="Times New Roman" w:hAnsi="Times New Roman" w:eastAsia="宋体" w:cs="宋体"/>
          <w:sz w:val="24"/>
          <w:szCs w:val="36"/>
        </w:rPr>
        <w:t>万升，人均消耗</w:t>
      </w:r>
      <w:r>
        <w:rPr>
          <w:rFonts w:ascii="Times New Roman" w:hAnsi="Times New Roman" w:eastAsia="宋体" w:cs="宋体"/>
          <w:sz w:val="24"/>
          <w:szCs w:val="36"/>
        </w:rPr>
        <w:t>3</w:t>
      </w:r>
      <w:r>
        <w:rPr>
          <w:rFonts w:ascii="Times New Roman" w:hAnsi="Times New Roman" w:eastAsia="宋体" w:cs="宋体"/>
          <w:sz w:val="24"/>
          <w:szCs w:val="36"/>
          <w:highlight w:val="none"/>
        </w:rPr>
        <w:t>6</w:t>
      </w:r>
      <w:r>
        <w:rPr>
          <w:rFonts w:ascii="Times New Roman" w:hAnsi="Times New Roman" w:eastAsia="宋体" w:cs="宋体"/>
          <w:sz w:val="24"/>
          <w:szCs w:val="36"/>
          <w:highlight w:val="none"/>
          <w:lang w:eastAsia="zh-Hans"/>
        </w:rPr>
        <w:t>.87</w:t>
      </w:r>
      <w:r>
        <w:rPr>
          <w:rFonts w:hint="eastAsia" w:ascii="Times New Roman" w:hAnsi="Times New Roman" w:eastAsia="宋体" w:cs="宋体"/>
          <w:sz w:val="24"/>
          <w:szCs w:val="36"/>
          <w:highlight w:val="none"/>
        </w:rPr>
        <w:t>升</w:t>
      </w:r>
      <w:r>
        <w:rPr>
          <w:rFonts w:hint="eastAsia" w:ascii="Times New Roman" w:hAnsi="Times New Roman" w:eastAsia="宋体" w:cs="宋体"/>
          <w:sz w:val="24"/>
          <w:szCs w:val="36"/>
          <w:highlight w:val="none"/>
          <w:lang w:eastAsia="zh-CN"/>
        </w:rPr>
        <w:t>；</w:t>
      </w:r>
      <w:r>
        <w:rPr>
          <w:rFonts w:hint="eastAsia" w:ascii="Times New Roman" w:hAnsi="Times New Roman" w:eastAsia="宋体" w:cs="宋体"/>
          <w:sz w:val="24"/>
          <w:szCs w:val="36"/>
          <w:highlight w:val="none"/>
          <w:lang w:val="en-US" w:eastAsia="zh-CN"/>
        </w:rPr>
        <w:t>营业办公消耗燃气2,102.06万立方米，人均0.9141万立方米</w:t>
      </w:r>
      <w:r>
        <w:rPr>
          <w:rFonts w:hint="eastAsia" w:ascii="Times New Roman" w:hAnsi="Times New Roman" w:eastAsia="宋体" w:cs="宋体"/>
          <w:sz w:val="24"/>
          <w:szCs w:val="36"/>
          <w:highlight w:val="none"/>
        </w:rPr>
        <w:t>；营业办公耗水</w:t>
      </w:r>
      <w:r>
        <w:rPr>
          <w:rFonts w:ascii="Times New Roman" w:hAnsi="Times New Roman" w:eastAsia="宋体" w:cs="宋体"/>
          <w:sz w:val="24"/>
          <w:szCs w:val="36"/>
          <w:highlight w:val="none"/>
        </w:rPr>
        <w:t>28</w:t>
      </w:r>
      <w:r>
        <w:rPr>
          <w:rFonts w:hint="eastAsia" w:ascii="Times New Roman" w:hAnsi="Times New Roman" w:eastAsia="宋体" w:cs="宋体"/>
          <w:sz w:val="24"/>
          <w:szCs w:val="36"/>
          <w:highlight w:val="none"/>
          <w:lang w:val="en-US" w:eastAsia="zh-CN"/>
        </w:rPr>
        <w:t>,</w:t>
      </w:r>
      <w:r>
        <w:rPr>
          <w:rFonts w:ascii="Times New Roman" w:hAnsi="Times New Roman" w:eastAsia="宋体" w:cs="宋体"/>
          <w:sz w:val="24"/>
          <w:szCs w:val="36"/>
          <w:highlight w:val="none"/>
        </w:rPr>
        <w:t>700</w:t>
      </w:r>
      <w:r>
        <w:rPr>
          <w:rFonts w:hint="eastAsia" w:ascii="Times New Roman" w:hAnsi="Times New Roman" w:eastAsia="宋体" w:cs="宋体"/>
          <w:sz w:val="24"/>
          <w:szCs w:val="36"/>
          <w:highlight w:val="none"/>
        </w:rPr>
        <w:t>吨，人均消耗</w:t>
      </w:r>
      <w:r>
        <w:rPr>
          <w:rFonts w:ascii="Times New Roman" w:hAnsi="Times New Roman" w:eastAsia="宋体" w:cs="宋体"/>
          <w:sz w:val="24"/>
          <w:szCs w:val="36"/>
          <w:highlight w:val="none"/>
        </w:rPr>
        <w:t>12.4</w:t>
      </w:r>
      <w:r>
        <w:rPr>
          <w:rFonts w:hint="eastAsia" w:ascii="Times New Roman" w:hAnsi="Times New Roman" w:eastAsia="宋体" w:cs="宋体"/>
          <w:sz w:val="24"/>
          <w:szCs w:val="36"/>
          <w:highlight w:val="none"/>
          <w:lang w:val="en-US" w:eastAsia="zh-CN"/>
        </w:rPr>
        <w:t>9</w:t>
      </w:r>
      <w:r>
        <w:rPr>
          <w:rFonts w:hint="eastAsia" w:ascii="Times New Roman" w:hAnsi="Times New Roman" w:eastAsia="宋体" w:cs="宋体"/>
          <w:sz w:val="24"/>
          <w:szCs w:val="36"/>
          <w:highlight w:val="none"/>
        </w:rPr>
        <w:t>吨。</w:t>
      </w:r>
    </w:p>
    <w:p>
      <w:pPr>
        <w:spacing w:line="360" w:lineRule="auto"/>
        <w:ind w:firstLine="480" w:firstLineChars="200"/>
        <w:rPr>
          <w:rFonts w:ascii="Times New Roman" w:hAnsi="Times New Roman" w:eastAsia="宋体" w:cs="宋体"/>
          <w:sz w:val="24"/>
          <w:szCs w:val="32"/>
          <w:shd w:val="clear" w:color="auto" w:fill="FFFFFF"/>
        </w:rPr>
      </w:pPr>
      <w:bookmarkStart w:id="221" w:name="_Hlk104297569"/>
      <w:r>
        <w:rPr>
          <w:rFonts w:hint="eastAsia" w:ascii="Times New Roman" w:hAnsi="Times New Roman" w:eastAsia="宋体" w:cs="宋体"/>
          <w:sz w:val="24"/>
          <w:szCs w:val="36"/>
          <w:highlight w:val="none"/>
        </w:rPr>
        <w:t>经营活动产生的直接温室气体排放方面，</w:t>
      </w:r>
      <w:r>
        <w:rPr>
          <w:rFonts w:ascii="Times New Roman" w:hAnsi="Times New Roman" w:eastAsia="宋体" w:cs="宋体"/>
          <w:sz w:val="24"/>
          <w:szCs w:val="36"/>
          <w:highlight w:val="none"/>
        </w:rPr>
        <w:t>2022</w:t>
      </w:r>
      <w:r>
        <w:rPr>
          <w:rFonts w:hint="eastAsia" w:ascii="Times New Roman" w:hAnsi="Times New Roman" w:eastAsia="宋体" w:cs="宋体"/>
          <w:sz w:val="24"/>
          <w:szCs w:val="36"/>
          <w:highlight w:val="none"/>
        </w:rPr>
        <w:t>年，</w:t>
      </w:r>
      <w:r>
        <w:rPr>
          <w:rFonts w:hint="eastAsia" w:ascii="Times New Roman" w:hAnsi="Times New Roman" w:eastAsia="宋体" w:cs="宋体"/>
          <w:sz w:val="24"/>
          <w:szCs w:val="32"/>
          <w:highlight w:val="none"/>
        </w:rPr>
        <w:t>本行</w:t>
      </w:r>
      <w:r>
        <w:rPr>
          <w:rFonts w:hint="eastAsia" w:ascii="Times New Roman" w:hAnsi="Times New Roman" w:eastAsia="宋体" w:cs="宋体"/>
          <w:sz w:val="24"/>
          <w:szCs w:val="32"/>
          <w:highlight w:val="none"/>
          <w:shd w:val="clear" w:color="auto" w:fill="FFFFFF"/>
        </w:rPr>
        <w:t>经营活动产</w:t>
      </w:r>
      <w:r>
        <w:rPr>
          <w:rFonts w:hint="eastAsia" w:ascii="Times New Roman" w:hAnsi="Times New Roman" w:eastAsia="宋体" w:cs="宋体"/>
          <w:sz w:val="24"/>
          <w:szCs w:val="32"/>
          <w:shd w:val="clear" w:color="auto" w:fill="FFFFFF"/>
        </w:rPr>
        <w:t>生的直接温室气体排放主要源自</w:t>
      </w:r>
      <w:r>
        <w:rPr>
          <w:rFonts w:hint="eastAsia" w:ascii="Times New Roman" w:hAnsi="Times New Roman" w:eastAsia="宋体" w:cs="宋体"/>
          <w:sz w:val="24"/>
          <w:szCs w:val="36"/>
        </w:rPr>
        <w:t>公务用车的汽油燃烧，排放</w:t>
      </w:r>
      <w:r>
        <w:rPr>
          <w:rFonts w:hint="eastAsia" w:ascii="Times New Roman" w:hAnsi="Times New Roman" w:eastAsia="宋体" w:cs="宋体"/>
          <w:sz w:val="24"/>
          <w:szCs w:val="32"/>
          <w:shd w:val="clear" w:color="auto" w:fill="FFFFFF"/>
        </w:rPr>
        <w:t>总量</w:t>
      </w:r>
      <w:r>
        <w:rPr>
          <w:rFonts w:ascii="Times New Roman" w:hAnsi="Times New Roman" w:eastAsia="宋体" w:cs="宋体"/>
          <w:sz w:val="24"/>
          <w:szCs w:val="32"/>
          <w:shd w:val="clear" w:color="auto" w:fill="FFFFFF"/>
        </w:rPr>
        <w:t>179</w:t>
      </w:r>
      <w:r>
        <w:rPr>
          <w:rFonts w:ascii="Times New Roman" w:hAnsi="Times New Roman" w:eastAsia="宋体" w:cs="宋体"/>
          <w:sz w:val="24"/>
          <w:szCs w:val="32"/>
          <w:shd w:val="clear" w:color="auto" w:fill="FFFFFF"/>
          <w:lang w:eastAsia="zh-Hans"/>
        </w:rPr>
        <w:t>.83</w:t>
      </w:r>
      <w:r>
        <w:rPr>
          <w:rFonts w:hint="eastAsia" w:ascii="Times New Roman" w:hAnsi="Times New Roman" w:eastAsia="宋体" w:cs="宋体"/>
          <w:sz w:val="24"/>
          <w:szCs w:val="32"/>
          <w:shd w:val="clear" w:color="auto" w:fill="FFFFFF"/>
        </w:rPr>
        <w:t>吨二氧化碳当量，人均排放</w:t>
      </w:r>
      <w:r>
        <w:rPr>
          <w:rFonts w:ascii="Times New Roman" w:hAnsi="Times New Roman" w:eastAsia="宋体" w:cs="宋体"/>
          <w:sz w:val="24"/>
          <w:szCs w:val="32"/>
          <w:shd w:val="clear" w:color="auto" w:fill="FFFFFF"/>
        </w:rPr>
        <w:t>0</w:t>
      </w:r>
      <w:r>
        <w:rPr>
          <w:rFonts w:ascii="Times New Roman" w:hAnsi="Times New Roman" w:eastAsia="宋体" w:cs="宋体"/>
          <w:sz w:val="24"/>
          <w:szCs w:val="32"/>
          <w:shd w:val="clear" w:color="auto" w:fill="FFFFFF"/>
          <w:lang w:eastAsia="zh-Hans"/>
        </w:rPr>
        <w:t>.07</w:t>
      </w:r>
      <w:r>
        <w:rPr>
          <w:rFonts w:hint="eastAsia" w:ascii="Times New Roman" w:hAnsi="Times New Roman" w:eastAsia="宋体" w:cs="宋体"/>
          <w:sz w:val="24"/>
          <w:szCs w:val="32"/>
          <w:shd w:val="clear" w:color="auto" w:fill="FFFFFF"/>
        </w:rPr>
        <w:t>吨二氧化碳当量。</w:t>
      </w:r>
      <w:bookmarkEnd w:id="221"/>
    </w:p>
    <w:p>
      <w:pPr>
        <w:pStyle w:val="2"/>
        <w:spacing w:line="360" w:lineRule="auto"/>
        <w:ind w:left="0" w:leftChars="0" w:firstLine="0" w:firstLineChars="0"/>
        <w:jc w:val="center"/>
        <w:rPr>
          <w:rFonts w:hint="default" w:ascii="Times New Roman" w:hAnsi="Times New Roman" w:eastAsia="黑体" w:cs="宋体"/>
        </w:rPr>
      </w:pPr>
      <w:bookmarkStart w:id="222" w:name="_Toc4716"/>
      <w:bookmarkStart w:id="223" w:name="_Toc26871"/>
      <w:bookmarkStart w:id="224" w:name="_Toc99657142"/>
      <w:bookmarkStart w:id="225" w:name="_Toc117857264"/>
      <w:bookmarkStart w:id="226" w:name="_Toc2713"/>
      <w:bookmarkStart w:id="227" w:name="_Toc99610480"/>
      <w:r>
        <w:rPr>
          <w:rFonts w:ascii="Times New Roman" w:hAnsi="Times New Roman" w:eastAsia="黑体" w:cs="宋体"/>
        </w:rPr>
        <w:t>表</w:t>
      </w:r>
      <w:r>
        <w:rPr>
          <w:rFonts w:hint="default" w:ascii="Times New Roman" w:hAnsi="Times New Roman" w:eastAsia="黑体" w:cs="宋体"/>
        </w:rPr>
        <w:t>8-1</w:t>
      </w:r>
      <w:r>
        <w:rPr>
          <w:rFonts w:ascii="Times New Roman" w:hAnsi="Times New Roman" w:eastAsia="黑体" w:cs="宋体"/>
        </w:rPr>
        <w:t>：经营活动产生的直接温室气体排放和直接自然资源消耗</w:t>
      </w:r>
      <w:bookmarkStart w:id="228" w:name="_Toc16884"/>
      <w:r>
        <w:rPr>
          <w:rFonts w:ascii="Times New Roman" w:hAnsi="Times New Roman" w:eastAsia="黑体" w:cs="宋体"/>
        </w:rPr>
        <w:t>（</w:t>
      </w:r>
      <w:r>
        <w:rPr>
          <w:rFonts w:hint="default" w:ascii="Times New Roman" w:hAnsi="Times New Roman" w:eastAsia="黑体" w:cs="宋体"/>
        </w:rPr>
        <w:t>2022</w:t>
      </w:r>
      <w:r>
        <w:rPr>
          <w:rFonts w:ascii="Times New Roman" w:hAnsi="Times New Roman" w:eastAsia="黑体" w:cs="宋体"/>
        </w:rPr>
        <w:t>年度）</w:t>
      </w:r>
      <w:bookmarkEnd w:id="222"/>
      <w:bookmarkEnd w:id="223"/>
      <w:bookmarkEnd w:id="224"/>
      <w:bookmarkEnd w:id="225"/>
      <w:bookmarkEnd w:id="226"/>
      <w:bookmarkEnd w:id="227"/>
      <w:bookmarkEnd w:id="228"/>
    </w:p>
    <w:tbl>
      <w:tblPr>
        <w:tblStyle w:val="70"/>
        <w:tblW w:w="5000" w:type="pct"/>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1639"/>
        <w:gridCol w:w="1639"/>
        <w:gridCol w:w="1311"/>
        <w:gridCol w:w="1311"/>
        <w:gridCol w:w="1311"/>
        <w:gridCol w:w="1311"/>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124" w:hRule="atLeast"/>
        </w:trPr>
        <w:tc>
          <w:tcPr>
            <w:tcW w:w="1923" w:type="pct"/>
            <w:gridSpan w:val="2"/>
            <w:vMerge w:val="restart"/>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jc w:val="center"/>
              <w:rPr>
                <w:rFonts w:ascii="Times New Roman" w:hAnsi="Times New Roman" w:eastAsia="宋体" w:cs="Times New Roman"/>
                <w:b w:val="0"/>
                <w:bCs w:val="0"/>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szCs w:val="21"/>
                <w14:textFill>
                  <w14:solidFill>
                    <w14:schemeClr w14:val="bg1"/>
                  </w14:solidFill>
                </w14:textFill>
              </w:rPr>
              <w:t>统计指标</w:t>
            </w:r>
          </w:p>
        </w:tc>
        <w:tc>
          <w:tcPr>
            <w:tcW w:w="1538" w:type="pct"/>
            <w:gridSpan w:val="2"/>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jc w:val="center"/>
              <w:rPr>
                <w:rFonts w:ascii="Times New Roman" w:hAnsi="Times New Roman" w:eastAsia="宋体" w:cs="Times New Roman"/>
                <w:b w:val="0"/>
                <w:bCs w:val="0"/>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szCs w:val="21"/>
                <w14:textFill>
                  <w14:solidFill>
                    <w14:schemeClr w14:val="bg1"/>
                  </w14:solidFill>
                </w14:textFill>
              </w:rPr>
              <w:t>消耗量</w:t>
            </w:r>
          </w:p>
        </w:tc>
        <w:tc>
          <w:tcPr>
            <w:tcW w:w="1538" w:type="pct"/>
            <w:gridSpan w:val="2"/>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jc w:val="center"/>
              <w:rPr>
                <w:rFonts w:ascii="Times New Roman" w:hAnsi="Times New Roman" w:eastAsia="宋体" w:cs="Times New Roman"/>
                <w:b w:val="0"/>
                <w:bCs w:val="0"/>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szCs w:val="21"/>
                <w14:textFill>
                  <w14:solidFill>
                    <w14:schemeClr w14:val="bg1"/>
                  </w14:solidFill>
                </w14:textFill>
              </w:rPr>
              <w:t>人均消耗量</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923" w:type="pct"/>
            <w:gridSpan w:val="2"/>
            <w:vMerge w:val="continue"/>
            <w:shd w:val="clear" w:color="auto" w:fill="DEEAF6" w:themeFill="accent5" w:themeFillTint="33"/>
            <w:vAlign w:val="center"/>
          </w:tcPr>
          <w:p>
            <w:pPr>
              <w:widowControl/>
              <w:spacing w:line="360" w:lineRule="auto"/>
              <w:rPr>
                <w:rFonts w:ascii="Times New Roman" w:hAnsi="Times New Roman" w:eastAsia="宋体" w:cs="Times New Roman"/>
                <w:b w:val="0"/>
                <w:bCs w:val="0"/>
                <w:color w:val="FFFFFF" w:themeColor="background1"/>
                <w:szCs w:val="21"/>
                <w14:textFill>
                  <w14:solidFill>
                    <w14:schemeClr w14:val="bg1"/>
                  </w14:solidFill>
                </w14:textFill>
              </w:rPr>
            </w:pP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82" w:hRule="atLeast"/>
        </w:trPr>
        <w:tc>
          <w:tcPr>
            <w:tcW w:w="962" w:type="pct"/>
            <w:vMerge w:val="restart"/>
            <w:vAlign w:val="center"/>
          </w:tcPr>
          <w:p>
            <w:pPr>
              <w:spacing w:line="360" w:lineRule="auto"/>
              <w:rPr>
                <w:rFonts w:ascii="Times New Roman" w:hAnsi="Times New Roman" w:eastAsia="黑体" w:cs="Times New Roman"/>
                <w:b/>
                <w:bCs/>
                <w:szCs w:val="21"/>
                <w:highlight w:val="none"/>
              </w:rPr>
            </w:pPr>
            <w:r>
              <w:rPr>
                <w:rFonts w:ascii="Times New Roman" w:hAnsi="Times New Roman" w:eastAsia="宋体" w:cs="Times New Roman"/>
                <w:b w:val="0"/>
                <w:bCs w:val="0"/>
                <w:color w:val="000000" w:themeColor="text1"/>
                <w:szCs w:val="21"/>
                <w:highlight w:val="none"/>
                <w14:textFill>
                  <w14:solidFill>
                    <w14:schemeClr w14:val="tx1"/>
                  </w14:solidFill>
                </w14:textFill>
              </w:rPr>
              <w:t>直接自然资源消耗</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（范围</w:t>
            </w: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一</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w:t>
            </w:r>
          </w:p>
        </w:tc>
        <w:tc>
          <w:tcPr>
            <w:tcW w:w="962" w:type="pct"/>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自有交通运输工具消耗的汽油</w:t>
            </w:r>
          </w:p>
        </w:tc>
        <w:tc>
          <w:tcPr>
            <w:tcW w:w="769" w:type="pct"/>
            <w:vAlign w:val="center"/>
          </w:tcPr>
          <w:p>
            <w:pPr>
              <w:spacing w:line="360" w:lineRule="auto"/>
              <w:jc w:val="center"/>
              <w:rPr>
                <w:rFonts w:ascii="Times New Roman" w:hAnsi="Times New Roman" w:eastAsia="宋体" w:cs="Times New Roman"/>
                <w:szCs w:val="21"/>
                <w:highlight w:val="none"/>
                <w:lang w:eastAsia="zh-Hans"/>
              </w:rPr>
            </w:pPr>
            <w:r>
              <w:rPr>
                <w:rFonts w:ascii="Times New Roman" w:hAnsi="Times New Roman" w:eastAsia="宋体" w:cs="Times New Roman"/>
                <w:szCs w:val="21"/>
                <w:highlight w:val="none"/>
                <w:lang w:eastAsia="zh-Hans"/>
              </w:rPr>
              <w:t>8</w:t>
            </w:r>
            <w:r>
              <w:rPr>
                <w:rFonts w:hint="eastAsia" w:ascii="Times New Roman" w:hAnsi="Times New Roman" w:eastAsia="宋体" w:cs="Times New Roman"/>
                <w:szCs w:val="21"/>
                <w:highlight w:val="none"/>
                <w:lang w:eastAsia="zh-Hans"/>
              </w:rPr>
              <w:t>.</w:t>
            </w:r>
            <w:r>
              <w:rPr>
                <w:rFonts w:ascii="Times New Roman" w:hAnsi="Times New Roman" w:eastAsia="宋体" w:cs="Times New Roman"/>
                <w:szCs w:val="21"/>
                <w:highlight w:val="none"/>
                <w:lang w:eastAsia="zh-Hans"/>
              </w:rPr>
              <w:t>48</w:t>
            </w:r>
          </w:p>
        </w:tc>
        <w:tc>
          <w:tcPr>
            <w:tcW w:w="769"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万升</w:t>
            </w:r>
          </w:p>
        </w:tc>
        <w:tc>
          <w:tcPr>
            <w:tcW w:w="769" w:type="pct"/>
            <w:vAlign w:val="center"/>
          </w:tcPr>
          <w:p>
            <w:pPr>
              <w:spacing w:line="360" w:lineRule="auto"/>
              <w:jc w:val="center"/>
              <w:rPr>
                <w:rFonts w:ascii="Times New Roman" w:hAnsi="Times New Roman" w:eastAsia="宋体" w:cs="Times New Roman"/>
                <w:szCs w:val="21"/>
                <w:highlight w:val="none"/>
                <w:lang w:eastAsia="zh-Hans"/>
              </w:rPr>
            </w:pPr>
            <w:r>
              <w:rPr>
                <w:rFonts w:ascii="Times New Roman" w:hAnsi="Times New Roman" w:eastAsia="宋体" w:cs="Times New Roman"/>
                <w:szCs w:val="21"/>
                <w:highlight w:val="none"/>
                <w:lang w:eastAsia="zh-Hans"/>
              </w:rPr>
              <w:t>36</w:t>
            </w:r>
            <w:r>
              <w:rPr>
                <w:rFonts w:hint="eastAsia" w:ascii="Times New Roman" w:hAnsi="Times New Roman" w:eastAsia="宋体" w:cs="Times New Roman"/>
                <w:szCs w:val="21"/>
                <w:highlight w:val="none"/>
                <w:lang w:eastAsia="zh-Hans"/>
              </w:rPr>
              <w:t>.</w:t>
            </w:r>
            <w:r>
              <w:rPr>
                <w:rFonts w:ascii="Times New Roman" w:hAnsi="Times New Roman" w:eastAsia="宋体" w:cs="Times New Roman"/>
                <w:szCs w:val="21"/>
                <w:highlight w:val="none"/>
                <w:lang w:eastAsia="zh-Hans"/>
              </w:rPr>
              <w:t>87</w:t>
            </w:r>
          </w:p>
        </w:tc>
        <w:tc>
          <w:tcPr>
            <w:tcW w:w="769"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升/人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87" w:hRule="atLeast"/>
        </w:trPr>
        <w:tc>
          <w:tcPr>
            <w:tcW w:w="962" w:type="pct"/>
            <w:vMerge w:val="continue"/>
            <w:shd w:val="clear" w:color="auto" w:fill="DEEAF6" w:themeFill="accent5" w:themeFillTint="33"/>
            <w:vAlign w:val="center"/>
          </w:tcPr>
          <w:p>
            <w:pPr>
              <w:widowControl/>
              <w:spacing w:line="360" w:lineRule="auto"/>
              <w:rPr>
                <w:rFonts w:ascii="Times New Roman" w:hAnsi="Times New Roman" w:eastAsia="宋体" w:cs="Times New Roman"/>
                <w:b w:val="0"/>
                <w:bCs w:val="0"/>
                <w:color w:val="000000" w:themeColor="text1"/>
                <w:szCs w:val="21"/>
                <w:highlight w:val="none"/>
                <w14:textFill>
                  <w14:solidFill>
                    <w14:schemeClr w14:val="tx1"/>
                  </w14:solidFill>
                </w14:textFill>
              </w:rPr>
            </w:pPr>
          </w:p>
        </w:tc>
        <w:tc>
          <w:tcPr>
            <w:tcW w:w="962" w:type="pct"/>
            <w:shd w:val="clear" w:color="auto" w:fill="DEEAF6" w:themeFill="accent5" w:themeFillTint="33"/>
            <w:vAlign w:val="center"/>
          </w:tcPr>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发电机组消耗柴油</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0.835</w:t>
            </w:r>
          </w:p>
        </w:tc>
        <w:tc>
          <w:tcPr>
            <w:tcW w:w="769" w:type="pct"/>
            <w:shd w:val="clear" w:color="auto" w:fill="DEEAF6" w:themeFill="accent5" w:themeFillTint="33"/>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升</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0.00036</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升/人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0" w:hRule="atLeast"/>
        </w:trPr>
        <w:tc>
          <w:tcPr>
            <w:tcW w:w="962" w:type="pct"/>
            <w:vMerge w:val="continue"/>
            <w:vAlign w:val="center"/>
          </w:tcPr>
          <w:p>
            <w:pPr>
              <w:widowControl/>
              <w:spacing w:line="360" w:lineRule="auto"/>
              <w:rPr>
                <w:rFonts w:ascii="Times New Roman" w:hAnsi="Times New Roman" w:eastAsia="宋体" w:cs="Times New Roman"/>
                <w:b w:val="0"/>
                <w:bCs w:val="0"/>
                <w:color w:val="000000" w:themeColor="text1"/>
                <w:szCs w:val="21"/>
                <w:highlight w:val="none"/>
                <w14:textFill>
                  <w14:solidFill>
                    <w14:schemeClr w14:val="tx1"/>
                  </w14:solidFill>
                </w14:textFill>
              </w:rPr>
            </w:pPr>
          </w:p>
        </w:tc>
        <w:tc>
          <w:tcPr>
            <w:tcW w:w="962" w:type="pct"/>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营业、办公活动消耗的燃气</w:t>
            </w:r>
          </w:p>
        </w:tc>
        <w:tc>
          <w:tcPr>
            <w:tcW w:w="769" w:type="pct"/>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2,102.6</w:t>
            </w:r>
          </w:p>
        </w:tc>
        <w:tc>
          <w:tcPr>
            <w:tcW w:w="769" w:type="pct"/>
            <w:vAlign w:val="center"/>
          </w:tcPr>
          <w:p>
            <w:pPr>
              <w:spacing w:line="36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万</w:t>
            </w:r>
            <w:r>
              <w:rPr>
                <w:rFonts w:ascii="Times New Roman" w:hAnsi="Times New Roman" w:eastAsia="宋体" w:cs="Times New Roman"/>
                <w:szCs w:val="21"/>
                <w:highlight w:val="none"/>
              </w:rPr>
              <w:t>立方米</w:t>
            </w:r>
          </w:p>
        </w:tc>
        <w:tc>
          <w:tcPr>
            <w:tcW w:w="769" w:type="pct"/>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0.9141</w:t>
            </w:r>
          </w:p>
        </w:tc>
        <w:tc>
          <w:tcPr>
            <w:tcW w:w="769" w:type="pct"/>
            <w:vAlign w:val="center"/>
          </w:tcPr>
          <w:p>
            <w:pPr>
              <w:spacing w:line="36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万</w:t>
            </w:r>
            <w:r>
              <w:rPr>
                <w:rFonts w:ascii="Times New Roman" w:hAnsi="Times New Roman" w:eastAsia="宋体" w:cs="Times New Roman"/>
                <w:szCs w:val="21"/>
                <w:highlight w:val="none"/>
              </w:rPr>
              <w:t>立方米/人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9" w:hRule="atLeast"/>
        </w:trPr>
        <w:tc>
          <w:tcPr>
            <w:tcW w:w="962" w:type="pct"/>
            <w:vMerge w:val="continue"/>
            <w:shd w:val="clear" w:color="auto" w:fill="DEEAF6" w:themeFill="accent5" w:themeFillTint="33"/>
            <w:vAlign w:val="center"/>
          </w:tcPr>
          <w:p>
            <w:pPr>
              <w:widowControl/>
              <w:spacing w:line="360" w:lineRule="auto"/>
              <w:rPr>
                <w:rFonts w:ascii="Times New Roman" w:hAnsi="Times New Roman" w:eastAsia="宋体" w:cs="Times New Roman"/>
                <w:b w:val="0"/>
                <w:bCs w:val="0"/>
                <w:color w:val="000000" w:themeColor="text1"/>
                <w:szCs w:val="21"/>
                <w14:textFill>
                  <w14:solidFill>
                    <w14:schemeClr w14:val="tx1"/>
                  </w14:solidFill>
                </w14:textFill>
              </w:rPr>
            </w:pPr>
          </w:p>
        </w:tc>
        <w:tc>
          <w:tcPr>
            <w:tcW w:w="962" w:type="pct"/>
            <w:shd w:val="clear" w:color="auto" w:fill="DEEAF6" w:themeFill="accent5" w:themeFillTint="33"/>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营业、办公活动消耗的水</w:t>
            </w:r>
          </w:p>
        </w:tc>
        <w:tc>
          <w:tcPr>
            <w:tcW w:w="769" w:type="pct"/>
            <w:shd w:val="clear" w:color="auto" w:fill="DEEAF6" w:themeFill="accent5" w:themeFillTint="33"/>
            <w:vAlign w:val="center"/>
          </w:tcPr>
          <w:p>
            <w:pPr>
              <w:spacing w:line="360" w:lineRule="auto"/>
              <w:jc w:val="center"/>
              <w:rPr>
                <w:rFonts w:hint="default" w:ascii="Times New Roman" w:hAnsi="Times New Roman" w:eastAsia="宋体" w:cs="Times New Roman"/>
                <w:szCs w:val="21"/>
                <w:lang w:val="en-US" w:eastAsia="zh-CN"/>
              </w:rPr>
            </w:pPr>
            <w:r>
              <w:rPr>
                <w:rFonts w:ascii="Times New Roman" w:hAnsi="Times New Roman" w:eastAsia="宋体" w:cs="Times New Roman"/>
                <w:szCs w:val="21"/>
              </w:rPr>
              <w:t>28,7</w:t>
            </w:r>
            <w:r>
              <w:rPr>
                <w:rFonts w:hint="eastAsia" w:ascii="Times New Roman" w:hAnsi="Times New Roman" w:eastAsia="宋体" w:cs="Times New Roman"/>
                <w:szCs w:val="21"/>
                <w:lang w:val="en-US" w:eastAsia="zh-CN"/>
              </w:rPr>
              <w:t>42</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吨</w:t>
            </w:r>
          </w:p>
        </w:tc>
        <w:tc>
          <w:tcPr>
            <w:tcW w:w="769" w:type="pct"/>
            <w:shd w:val="clear" w:color="auto" w:fill="DEEAF6" w:themeFill="accent5" w:themeFillTint="33"/>
            <w:vAlign w:val="center"/>
          </w:tcPr>
          <w:p>
            <w:pPr>
              <w:spacing w:line="360" w:lineRule="auto"/>
              <w:jc w:val="center"/>
              <w:rPr>
                <w:rFonts w:hint="eastAsia" w:ascii="Times New Roman" w:hAnsi="Times New Roman" w:cs="Times New Roman" w:eastAsiaTheme="minorEastAsia"/>
                <w:szCs w:val="21"/>
                <w:lang w:eastAsia="zh-CN"/>
              </w:rPr>
            </w:pPr>
            <w:r>
              <w:rPr>
                <w:rFonts w:ascii="Times New Roman" w:hAnsi="Times New Roman" w:cs="Times New Roman"/>
                <w:szCs w:val="21"/>
                <w:lang w:eastAsia="zh-Hans"/>
              </w:rPr>
              <w:t>12</w:t>
            </w:r>
            <w:r>
              <w:rPr>
                <w:rFonts w:hint="eastAsia" w:ascii="Times New Roman" w:hAnsi="Times New Roman" w:cs="Times New Roman"/>
                <w:szCs w:val="21"/>
                <w:lang w:eastAsia="zh-Hans"/>
              </w:rPr>
              <w:t>.</w:t>
            </w:r>
            <w:r>
              <w:rPr>
                <w:rFonts w:ascii="Times New Roman" w:hAnsi="Times New Roman" w:cs="Times New Roman"/>
                <w:szCs w:val="21"/>
                <w:lang w:eastAsia="zh-Hans"/>
              </w:rPr>
              <w:t>4</w:t>
            </w:r>
            <w:r>
              <w:rPr>
                <w:rFonts w:hint="eastAsia" w:ascii="Times New Roman" w:hAnsi="Times New Roman" w:cs="Times New Roman"/>
                <w:szCs w:val="21"/>
                <w:lang w:val="en-US" w:eastAsia="zh-CN"/>
              </w:rPr>
              <w:t>9</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吨/人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1" w:hRule="atLeast"/>
        </w:trPr>
        <w:tc>
          <w:tcPr>
            <w:tcW w:w="1923" w:type="pct"/>
            <w:gridSpan w:val="2"/>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hint="eastAsia" w:ascii="Times New Roman" w:hAnsi="Times New Roman" w:eastAsia="宋体" w:cs="Times New Roman"/>
                <w:b/>
                <w:bCs/>
                <w:szCs w:val="21"/>
              </w:rPr>
              <w:t>统计指标</w:t>
            </w:r>
          </w:p>
        </w:tc>
        <w:tc>
          <w:tcPr>
            <w:tcW w:w="1538" w:type="pct"/>
            <w:gridSpan w:val="2"/>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排放量</w:t>
            </w:r>
          </w:p>
        </w:tc>
        <w:tc>
          <w:tcPr>
            <w:tcW w:w="1538" w:type="pct"/>
            <w:gridSpan w:val="2"/>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人均排放量</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383" w:hRule="atLeast"/>
        </w:trPr>
        <w:tc>
          <w:tcPr>
            <w:tcW w:w="962" w:type="pct"/>
            <w:shd w:val="clear" w:color="auto" w:fill="DEEAF6" w:themeFill="accent5" w:themeFillTint="33"/>
            <w:vAlign w:val="center"/>
          </w:tcPr>
          <w:p>
            <w:pPr>
              <w:widowControl/>
              <w:spacing w:line="360" w:lineRule="auto"/>
              <w:rPr>
                <w:rFonts w:ascii="Times New Roman" w:hAnsi="Times New Roman" w:eastAsia="宋体" w:cs="Times New Roman"/>
                <w:b w:val="0"/>
                <w:bCs w:val="0"/>
                <w:szCs w:val="21"/>
                <w:highlight w:val="none"/>
              </w:rPr>
            </w:pPr>
            <w:r>
              <w:rPr>
                <w:rFonts w:ascii="Times New Roman" w:hAnsi="Times New Roman" w:eastAsia="宋体" w:cs="Times New Roman"/>
                <w:b w:val="0"/>
                <w:bCs w:val="0"/>
                <w:szCs w:val="21"/>
                <w:highlight w:val="none"/>
              </w:rPr>
              <w:t>直接温室气体排放</w:t>
            </w:r>
          </w:p>
        </w:tc>
        <w:tc>
          <w:tcPr>
            <w:tcW w:w="962" w:type="pct"/>
            <w:shd w:val="clear" w:color="auto" w:fill="DEEAF6" w:themeFill="accent5" w:themeFillTint="33"/>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直接温室</w:t>
            </w:r>
            <w:r>
              <w:rPr>
                <w:rFonts w:hint="eastAsia" w:ascii="Times New Roman" w:hAnsi="Times New Roman" w:eastAsia="宋体" w:cs="Times New Roman"/>
                <w:szCs w:val="21"/>
                <w:highlight w:val="none"/>
              </w:rPr>
              <w:t>气体</w:t>
            </w:r>
            <w:r>
              <w:rPr>
                <w:rFonts w:ascii="Times New Roman" w:hAnsi="Times New Roman" w:eastAsia="宋体" w:cs="Times New Roman"/>
                <w:szCs w:val="21"/>
                <w:highlight w:val="none"/>
              </w:rPr>
              <w:t>排放总量</w:t>
            </w:r>
          </w:p>
        </w:tc>
        <w:tc>
          <w:tcPr>
            <w:tcW w:w="769" w:type="pct"/>
            <w:shd w:val="clear" w:color="auto" w:fill="DEEAF6" w:themeFill="accent5" w:themeFillTint="33"/>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45,649.32</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吨二氧化碳当量</w:t>
            </w:r>
          </w:p>
        </w:tc>
        <w:tc>
          <w:tcPr>
            <w:tcW w:w="769" w:type="pct"/>
            <w:shd w:val="clear" w:color="auto" w:fill="DEEAF6" w:themeFill="accent5" w:themeFillTint="33"/>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19.85</w:t>
            </w:r>
          </w:p>
        </w:tc>
        <w:tc>
          <w:tcPr>
            <w:tcW w:w="769" w:type="pct"/>
            <w:shd w:val="clear" w:color="auto" w:fill="DEEAF6" w:themeFill="accent5" w:themeFillTint="33"/>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吨二氧化碳当量/人</w:t>
            </w:r>
          </w:p>
        </w:tc>
      </w:tr>
    </w:tbl>
    <w:p>
      <w:pPr>
        <w:pStyle w:val="2"/>
        <w:spacing w:line="360" w:lineRule="auto"/>
        <w:ind w:left="0" w:leftChars="0" w:firstLine="0" w:firstLineChars="0"/>
        <w:rPr>
          <w:rFonts w:hint="default" w:ascii="Times New Roman" w:hAnsi="Times New Roman" w:eastAsia="宋体"/>
          <w:szCs w:val="21"/>
        </w:rPr>
      </w:pPr>
      <w:r>
        <w:rPr>
          <w:rFonts w:hint="default" w:ascii="Times New Roman" w:hAnsi="Times New Roman" w:eastAsia="宋体"/>
          <w:szCs w:val="21"/>
        </w:rPr>
        <w:t>注：1.直接温室气体排放</w:t>
      </w:r>
      <w:r>
        <w:rPr>
          <w:rFonts w:ascii="Times New Roman" w:hAnsi="Times New Roman" w:eastAsia="宋体"/>
          <w:szCs w:val="21"/>
        </w:rPr>
        <w:t>总量</w:t>
      </w:r>
      <w:r>
        <w:rPr>
          <w:rFonts w:hint="default" w:ascii="Times New Roman" w:hAnsi="Times New Roman" w:eastAsia="宋体"/>
          <w:szCs w:val="21"/>
        </w:rPr>
        <w:t>（范围一）</w:t>
      </w:r>
      <w:r>
        <w:rPr>
          <w:rFonts w:ascii="Times New Roman" w:hAnsi="Times New Roman" w:eastAsia="宋体"/>
          <w:szCs w:val="21"/>
        </w:rPr>
        <w:t>为</w:t>
      </w:r>
      <w:r>
        <w:rPr>
          <w:rFonts w:hint="default" w:ascii="Times New Roman" w:hAnsi="Times New Roman" w:eastAsia="宋体"/>
          <w:szCs w:val="21"/>
        </w:rPr>
        <w:t>总行自有交通运输工具油气资源消耗</w:t>
      </w:r>
      <w:r>
        <w:rPr>
          <w:rFonts w:ascii="Times New Roman" w:hAnsi="Times New Roman" w:eastAsia="宋体"/>
          <w:szCs w:val="21"/>
        </w:rPr>
        <w:t>；</w:t>
      </w:r>
    </w:p>
    <w:p>
      <w:pPr>
        <w:widowControl/>
        <w:spacing w:line="360" w:lineRule="auto"/>
        <w:ind w:firstLine="420" w:firstLineChars="200"/>
        <w:rPr>
          <w:rFonts w:ascii="Times New Roman" w:hAnsi="Times New Roman" w:cs="Times New Roman"/>
        </w:rPr>
      </w:pPr>
      <w:r>
        <w:rPr>
          <w:rFonts w:ascii="Times New Roman" w:hAnsi="Times New Roman" w:eastAsia="宋体" w:cs="Times New Roman"/>
          <w:color w:val="000000"/>
          <w:szCs w:val="21"/>
          <w:shd w:val="clear" w:color="auto" w:fill="FFFFFF"/>
        </w:rPr>
        <w:t>2.</w:t>
      </w:r>
      <w:r>
        <w:rPr>
          <w:rFonts w:hint="eastAsia" w:ascii="Times New Roman" w:hAnsi="Times New Roman" w:eastAsia="宋体" w:cs="Times New Roman"/>
          <w:color w:val="000000"/>
          <w:szCs w:val="21"/>
          <w:shd w:val="clear" w:color="auto" w:fill="FFFFFF"/>
        </w:rPr>
        <w:t>直接温室气体人均排放量以现有员工数</w:t>
      </w:r>
      <w:r>
        <w:rPr>
          <w:rFonts w:ascii="Times New Roman" w:hAnsi="Times New Roman" w:eastAsia="宋体" w:cs="Times New Roman"/>
          <w:color w:val="000000"/>
          <w:szCs w:val="21"/>
          <w:shd w:val="clear" w:color="auto" w:fill="FFFFFF"/>
        </w:rPr>
        <w:t>2</w:t>
      </w:r>
      <w:r>
        <w:rPr>
          <w:rFonts w:hint="eastAsia" w:ascii="Times New Roman" w:hAnsi="Times New Roman" w:eastAsia="宋体" w:cs="Times New Roman"/>
          <w:color w:val="000000"/>
          <w:szCs w:val="21"/>
          <w:shd w:val="clear" w:color="auto" w:fill="FFFFFF"/>
          <w:lang w:val="en-US" w:eastAsia="zh-CN"/>
        </w:rPr>
        <w:t>,</w:t>
      </w:r>
      <w:r>
        <w:rPr>
          <w:rFonts w:ascii="Times New Roman" w:hAnsi="Times New Roman" w:eastAsia="宋体" w:cs="Times New Roman"/>
          <w:color w:val="000000"/>
          <w:szCs w:val="21"/>
          <w:shd w:val="clear" w:color="auto" w:fill="FFFFFF"/>
        </w:rPr>
        <w:t>300</w:t>
      </w:r>
      <w:r>
        <w:rPr>
          <w:rFonts w:hint="eastAsia" w:ascii="Times New Roman" w:hAnsi="Times New Roman" w:eastAsia="宋体" w:cs="Times New Roman"/>
          <w:color w:val="000000"/>
          <w:szCs w:val="21"/>
          <w:shd w:val="clear" w:color="auto" w:fill="FFFFFF"/>
        </w:rPr>
        <w:t>人为基础测算。</w:t>
      </w:r>
    </w:p>
    <w:p>
      <w:pPr>
        <w:pStyle w:val="5"/>
        <w:keepNext w:val="0"/>
        <w:keepLines w:val="0"/>
        <w:numPr>
          <w:ilvl w:val="0"/>
          <w:numId w:val="12"/>
        </w:numPr>
        <w:spacing w:line="360" w:lineRule="auto"/>
        <w:jc w:val="both"/>
        <w:rPr>
          <w:rFonts w:cstheme="minorBidi"/>
          <w:bCs w:val="0"/>
          <w:color w:val="2E75B6" w:themeColor="accent5" w:themeShade="BF"/>
        </w:rPr>
      </w:pPr>
      <w:bookmarkStart w:id="229" w:name="_Toc25093"/>
      <w:bookmarkStart w:id="230" w:name="_Toc9756"/>
      <w:bookmarkStart w:id="231" w:name="_Toc6285"/>
      <w:bookmarkStart w:id="232" w:name="_Toc21888"/>
      <w:bookmarkStart w:id="233" w:name="_Toc741"/>
      <w:bookmarkStart w:id="234" w:name="_Toc104799680"/>
      <w:bookmarkStart w:id="235" w:name="_Toc28987"/>
      <w:bookmarkStart w:id="236" w:name="_Toc3628"/>
      <w:r>
        <w:rPr>
          <w:rFonts w:hint="eastAsia" w:cstheme="minorBidi"/>
          <w:bCs w:val="0"/>
          <w:color w:val="2E75B6" w:themeColor="accent5" w:themeShade="BF"/>
        </w:rPr>
        <w:t>采购产品或服务产生的间接温室气体排放和间接自然资源消耗</w:t>
      </w:r>
      <w:bookmarkEnd w:id="229"/>
      <w:bookmarkEnd w:id="230"/>
      <w:bookmarkEnd w:id="231"/>
      <w:bookmarkEnd w:id="232"/>
      <w:bookmarkEnd w:id="233"/>
      <w:bookmarkEnd w:id="234"/>
      <w:bookmarkEnd w:id="235"/>
      <w:bookmarkEnd w:id="236"/>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shd w:val="clear" w:color="auto" w:fill="FFFFFF"/>
        </w:rPr>
        <w:t>采购产品或服务产生的间接自然资源消耗方面，</w:t>
      </w:r>
      <w:r>
        <w:rPr>
          <w:rFonts w:ascii="Times New Roman" w:hAnsi="Times New Roman" w:eastAsia="宋体" w:cs="宋体"/>
          <w:sz w:val="24"/>
          <w:szCs w:val="24"/>
          <w:shd w:val="clear" w:color="auto" w:fill="FFFFFF"/>
        </w:rPr>
        <w:t>2022</w:t>
      </w:r>
      <w:r>
        <w:rPr>
          <w:rFonts w:hint="eastAsia" w:ascii="Times New Roman" w:hAnsi="Times New Roman" w:eastAsia="宋体" w:cs="宋体"/>
          <w:sz w:val="24"/>
          <w:szCs w:val="24"/>
          <w:shd w:val="clear" w:color="auto" w:fill="FFFFFF"/>
        </w:rPr>
        <w:t>年，</w:t>
      </w:r>
      <w:r>
        <w:rPr>
          <w:rFonts w:hint="eastAsia" w:ascii="Times New Roman" w:hAnsi="Times New Roman" w:eastAsia="宋体" w:cs="宋体"/>
          <w:sz w:val="24"/>
          <w:szCs w:val="24"/>
        </w:rPr>
        <w:t>本行营业办公耗电</w:t>
      </w:r>
      <w:r>
        <w:rPr>
          <w:rFonts w:ascii="Times New Roman" w:hAnsi="Times New Roman" w:eastAsia="宋体" w:cs="宋体"/>
          <w:sz w:val="24"/>
          <w:szCs w:val="24"/>
        </w:rPr>
        <w:t>377</w:t>
      </w:r>
      <w:r>
        <w:rPr>
          <w:rFonts w:ascii="Times New Roman" w:hAnsi="Times New Roman" w:eastAsia="宋体" w:cs="宋体"/>
          <w:sz w:val="24"/>
          <w:szCs w:val="24"/>
          <w:lang w:eastAsia="zh-Hans"/>
        </w:rPr>
        <w:t>.</w:t>
      </w:r>
      <w:r>
        <w:rPr>
          <w:rFonts w:ascii="Times New Roman" w:hAnsi="Times New Roman" w:eastAsia="宋体" w:cs="宋体"/>
          <w:sz w:val="24"/>
          <w:szCs w:val="24"/>
          <w:highlight w:val="none"/>
          <w:lang w:eastAsia="zh-Hans"/>
        </w:rPr>
        <w:t>66</w:t>
      </w:r>
      <w:r>
        <w:rPr>
          <w:rFonts w:hint="eastAsia" w:ascii="Times New Roman" w:hAnsi="Times New Roman" w:eastAsia="宋体" w:cs="宋体"/>
          <w:sz w:val="24"/>
          <w:szCs w:val="24"/>
          <w:highlight w:val="none"/>
        </w:rPr>
        <w:t>万千瓦时，人均耗电</w:t>
      </w:r>
      <w:r>
        <w:rPr>
          <w:rFonts w:ascii="Times New Roman" w:hAnsi="Times New Roman" w:eastAsia="宋体" w:cs="宋体"/>
          <w:sz w:val="24"/>
          <w:szCs w:val="24"/>
          <w:highlight w:val="none"/>
        </w:rPr>
        <w:t>0</w:t>
      </w:r>
      <w:r>
        <w:rPr>
          <w:rFonts w:ascii="Times New Roman" w:hAnsi="Times New Roman" w:eastAsia="宋体" w:cs="宋体"/>
          <w:sz w:val="24"/>
          <w:szCs w:val="24"/>
          <w:highlight w:val="none"/>
          <w:lang w:eastAsia="zh-Hans"/>
        </w:rPr>
        <w:t>.16</w:t>
      </w:r>
      <w:r>
        <w:rPr>
          <w:rFonts w:hint="eastAsia" w:ascii="Times New Roman" w:hAnsi="Times New Roman" w:eastAsia="宋体" w:cs="宋体"/>
          <w:sz w:val="24"/>
          <w:szCs w:val="24"/>
          <w:highlight w:val="none"/>
        </w:rPr>
        <w:t>万千瓦时；耗纸</w:t>
      </w:r>
      <w:r>
        <w:rPr>
          <w:rFonts w:ascii="Times New Roman" w:hAnsi="Times New Roman" w:eastAsia="宋体" w:cs="宋体"/>
          <w:sz w:val="24"/>
          <w:szCs w:val="24"/>
          <w:highlight w:val="none"/>
        </w:rPr>
        <w:t>168</w:t>
      </w:r>
      <w:r>
        <w:rPr>
          <w:rFonts w:ascii="Times New Roman" w:hAnsi="Times New Roman" w:eastAsia="宋体" w:cs="宋体"/>
          <w:sz w:val="24"/>
          <w:szCs w:val="24"/>
          <w:highlight w:val="none"/>
          <w:lang w:eastAsia="zh-Hans"/>
        </w:rPr>
        <w:t>.25</w:t>
      </w:r>
      <w:r>
        <w:rPr>
          <w:rFonts w:hint="eastAsia" w:ascii="Times New Roman" w:hAnsi="Times New Roman" w:eastAsia="宋体" w:cs="宋体"/>
          <w:sz w:val="24"/>
          <w:szCs w:val="24"/>
          <w:highlight w:val="none"/>
        </w:rPr>
        <w:t>万张，人均耗纸</w:t>
      </w:r>
      <w:r>
        <w:rPr>
          <w:rFonts w:ascii="Times New Roman" w:hAnsi="Times New Roman" w:eastAsia="宋体" w:cs="宋体"/>
          <w:sz w:val="24"/>
          <w:szCs w:val="24"/>
          <w:highlight w:val="none"/>
        </w:rPr>
        <w:t>0</w:t>
      </w:r>
      <w:r>
        <w:rPr>
          <w:rFonts w:ascii="Times New Roman" w:hAnsi="Times New Roman" w:eastAsia="宋体" w:cs="宋体"/>
          <w:sz w:val="24"/>
          <w:szCs w:val="24"/>
          <w:highlight w:val="none"/>
          <w:lang w:eastAsia="zh-Hans"/>
        </w:rPr>
        <w:t>.07</w:t>
      </w:r>
      <w:r>
        <w:rPr>
          <w:rFonts w:hint="eastAsia" w:ascii="Times New Roman" w:hAnsi="Times New Roman" w:eastAsia="宋体" w:cs="宋体"/>
          <w:sz w:val="24"/>
          <w:szCs w:val="24"/>
          <w:highlight w:val="none"/>
        </w:rPr>
        <w:t>万张。</w:t>
      </w:r>
    </w:p>
    <w:p>
      <w:pPr>
        <w:spacing w:line="360" w:lineRule="auto"/>
        <w:ind w:firstLine="480" w:firstLineChars="200"/>
        <w:rPr>
          <w:rFonts w:ascii="Times New Roman" w:hAnsi="Times New Roman" w:eastAsia="宋体" w:cs="宋体"/>
          <w:sz w:val="24"/>
          <w:szCs w:val="24"/>
          <w:highlight w:val="none"/>
          <w:shd w:val="clear" w:color="auto" w:fill="FFFFFF"/>
        </w:rPr>
      </w:pPr>
      <w:bookmarkStart w:id="237" w:name="_Hlk104297578"/>
      <w:r>
        <w:rPr>
          <w:rFonts w:hint="eastAsia" w:ascii="Times New Roman" w:hAnsi="Times New Roman" w:eastAsia="宋体" w:cs="宋体"/>
          <w:sz w:val="24"/>
          <w:szCs w:val="24"/>
          <w:highlight w:val="none"/>
          <w:shd w:val="clear" w:color="auto" w:fill="FFFFFF"/>
        </w:rPr>
        <w:t>采购产品或服务产生的间接</w:t>
      </w:r>
      <w:r>
        <w:rPr>
          <w:rFonts w:hint="eastAsia" w:ascii="Times New Roman" w:hAnsi="Times New Roman" w:eastAsia="宋体" w:cs="宋体"/>
          <w:sz w:val="24"/>
          <w:szCs w:val="24"/>
          <w:highlight w:val="none"/>
        </w:rPr>
        <w:t>温室气体排放方面，</w:t>
      </w:r>
      <w:r>
        <w:rPr>
          <w:rFonts w:ascii="Times New Roman" w:hAnsi="Times New Roman" w:eastAsia="宋体" w:cs="宋体"/>
          <w:sz w:val="24"/>
          <w:szCs w:val="24"/>
          <w:highlight w:val="none"/>
        </w:rPr>
        <w:t>2022</w:t>
      </w:r>
      <w:r>
        <w:rPr>
          <w:rFonts w:hint="eastAsia" w:ascii="Times New Roman" w:hAnsi="Times New Roman" w:eastAsia="宋体" w:cs="宋体"/>
          <w:sz w:val="24"/>
          <w:szCs w:val="24"/>
          <w:highlight w:val="none"/>
        </w:rPr>
        <w:t>年，本行</w:t>
      </w:r>
      <w:r>
        <w:rPr>
          <w:rFonts w:hint="eastAsia" w:ascii="Times New Roman" w:hAnsi="Times New Roman" w:eastAsia="宋体" w:cs="宋体"/>
          <w:sz w:val="24"/>
          <w:szCs w:val="24"/>
          <w:highlight w:val="none"/>
          <w:shd w:val="clear" w:color="auto" w:fill="FFFFFF"/>
        </w:rPr>
        <w:t>采购产品或服务产生的间接</w:t>
      </w:r>
      <w:r>
        <w:rPr>
          <w:rFonts w:hint="eastAsia" w:ascii="Times New Roman" w:hAnsi="Times New Roman" w:eastAsia="宋体" w:cs="宋体"/>
          <w:sz w:val="24"/>
          <w:szCs w:val="24"/>
          <w:highlight w:val="none"/>
        </w:rPr>
        <w:t>温室气体排放</w:t>
      </w:r>
      <w:r>
        <w:rPr>
          <w:rFonts w:hint="eastAsia" w:ascii="Times New Roman" w:hAnsi="Times New Roman" w:eastAsia="宋体" w:cs="宋体"/>
          <w:sz w:val="24"/>
          <w:szCs w:val="24"/>
          <w:highlight w:val="none"/>
          <w:shd w:val="clear" w:color="auto" w:fill="FFFFFF"/>
        </w:rPr>
        <w:t>主要源</w:t>
      </w:r>
      <w:r>
        <w:rPr>
          <w:rFonts w:hint="eastAsia" w:ascii="Times New Roman" w:hAnsi="Times New Roman" w:eastAsia="宋体" w:cs="宋体"/>
          <w:sz w:val="24"/>
          <w:szCs w:val="24"/>
          <w:highlight w:val="none"/>
        </w:rPr>
        <w:t>自经营办公的电力消耗，排放</w:t>
      </w:r>
      <w:r>
        <w:rPr>
          <w:rFonts w:hint="eastAsia" w:ascii="Times New Roman" w:hAnsi="Times New Roman" w:eastAsia="宋体" w:cs="宋体"/>
          <w:sz w:val="24"/>
          <w:szCs w:val="24"/>
          <w:highlight w:val="none"/>
          <w:shd w:val="clear" w:color="auto" w:fill="FFFFFF"/>
        </w:rPr>
        <w:t>总量</w:t>
      </w:r>
      <w:r>
        <w:rPr>
          <w:rFonts w:hint="eastAsia" w:ascii="Times New Roman" w:hAnsi="Times New Roman" w:eastAsia="宋体" w:cs="宋体"/>
          <w:sz w:val="24"/>
          <w:szCs w:val="24"/>
          <w:highlight w:val="none"/>
          <w:shd w:val="clear" w:color="auto" w:fill="FFFFFF"/>
          <w:lang w:val="en-US" w:eastAsia="zh-CN"/>
        </w:rPr>
        <w:t>3,049.62</w:t>
      </w:r>
      <w:r>
        <w:rPr>
          <w:rFonts w:hint="eastAsia" w:ascii="Times New Roman" w:hAnsi="Times New Roman" w:eastAsia="宋体" w:cs="宋体"/>
          <w:sz w:val="24"/>
          <w:szCs w:val="24"/>
          <w:highlight w:val="none"/>
          <w:shd w:val="clear" w:color="auto" w:fill="FFFFFF"/>
        </w:rPr>
        <w:t>吨二氧化碳当量，人均排放</w:t>
      </w:r>
      <w:r>
        <w:rPr>
          <w:rFonts w:ascii="Times New Roman" w:hAnsi="Times New Roman" w:eastAsia="宋体" w:cs="宋体"/>
          <w:sz w:val="24"/>
          <w:szCs w:val="24"/>
          <w:highlight w:val="none"/>
          <w:shd w:val="clear" w:color="auto" w:fill="FFFFFF"/>
        </w:rPr>
        <w:t>1</w:t>
      </w:r>
      <w:r>
        <w:rPr>
          <w:rFonts w:ascii="Times New Roman" w:hAnsi="Times New Roman" w:eastAsia="宋体" w:cs="宋体"/>
          <w:sz w:val="24"/>
          <w:szCs w:val="24"/>
          <w:highlight w:val="none"/>
          <w:shd w:val="clear" w:color="auto" w:fill="FFFFFF"/>
          <w:lang w:eastAsia="zh-Hans"/>
        </w:rPr>
        <w:t>.</w:t>
      </w:r>
      <w:r>
        <w:rPr>
          <w:rFonts w:hint="eastAsia" w:ascii="Times New Roman" w:hAnsi="Times New Roman" w:eastAsia="宋体" w:cs="宋体"/>
          <w:sz w:val="24"/>
          <w:szCs w:val="24"/>
          <w:highlight w:val="none"/>
          <w:shd w:val="clear" w:color="auto" w:fill="FFFFFF"/>
          <w:lang w:val="en-US" w:eastAsia="zh-CN"/>
        </w:rPr>
        <w:t>326</w:t>
      </w:r>
      <w:r>
        <w:rPr>
          <w:rFonts w:hint="eastAsia" w:ascii="Times New Roman" w:hAnsi="Times New Roman" w:eastAsia="宋体" w:cs="宋体"/>
          <w:sz w:val="24"/>
          <w:szCs w:val="24"/>
          <w:highlight w:val="none"/>
          <w:shd w:val="clear" w:color="auto" w:fill="FFFFFF"/>
        </w:rPr>
        <w:t>吨二氧化碳当量。</w:t>
      </w:r>
    </w:p>
    <w:bookmarkEnd w:id="237"/>
    <w:p>
      <w:pPr>
        <w:pStyle w:val="2"/>
        <w:spacing w:line="360" w:lineRule="auto"/>
        <w:ind w:left="0" w:leftChars="0" w:firstLine="0" w:firstLineChars="0"/>
        <w:jc w:val="center"/>
        <w:rPr>
          <w:rFonts w:hint="default" w:ascii="Times New Roman" w:hAnsi="Times New Roman" w:eastAsia="黑体" w:cs="宋体"/>
        </w:rPr>
      </w:pPr>
      <w:bookmarkStart w:id="238" w:name="_Toc117857265"/>
      <w:bookmarkStart w:id="239" w:name="_Toc99610481"/>
      <w:bookmarkStart w:id="240" w:name="_Toc942"/>
      <w:bookmarkStart w:id="241" w:name="_Toc99657143"/>
      <w:r>
        <w:rPr>
          <w:rFonts w:ascii="Times New Roman" w:hAnsi="Times New Roman" w:eastAsia="黑体" w:cs="宋体"/>
        </w:rPr>
        <w:t>表</w:t>
      </w:r>
      <w:r>
        <w:rPr>
          <w:rFonts w:hint="default" w:ascii="Times New Roman" w:hAnsi="Times New Roman" w:eastAsia="黑体" w:cs="宋体"/>
        </w:rPr>
        <w:t>8-2</w:t>
      </w:r>
      <w:r>
        <w:rPr>
          <w:rFonts w:ascii="Times New Roman" w:hAnsi="Times New Roman" w:eastAsia="黑体" w:cs="宋体"/>
        </w:rPr>
        <w:t>：采购产品或服务产生的间接温室气体排放和间接自然资源消耗</w:t>
      </w:r>
      <w:bookmarkStart w:id="242" w:name="_Toc3690"/>
      <w:r>
        <w:rPr>
          <w:rFonts w:ascii="Times New Roman" w:hAnsi="Times New Roman" w:eastAsia="黑体" w:cs="宋体"/>
        </w:rPr>
        <w:t>（</w:t>
      </w:r>
      <w:r>
        <w:rPr>
          <w:rFonts w:hint="default" w:ascii="Times New Roman" w:hAnsi="Times New Roman" w:eastAsia="黑体" w:cs="宋体"/>
        </w:rPr>
        <w:t>2022</w:t>
      </w:r>
      <w:r>
        <w:rPr>
          <w:rFonts w:ascii="Times New Roman" w:hAnsi="Times New Roman" w:eastAsia="黑体" w:cs="宋体"/>
        </w:rPr>
        <w:t>年度）</w:t>
      </w:r>
      <w:bookmarkEnd w:id="238"/>
      <w:bookmarkEnd w:id="239"/>
      <w:bookmarkEnd w:id="240"/>
      <w:bookmarkEnd w:id="241"/>
      <w:bookmarkEnd w:id="242"/>
    </w:p>
    <w:tbl>
      <w:tblPr>
        <w:tblStyle w:val="70"/>
        <w:tblW w:w="8468" w:type="dxa"/>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1413"/>
        <w:gridCol w:w="1414"/>
        <w:gridCol w:w="259"/>
        <w:gridCol w:w="1011"/>
        <w:gridCol w:w="1551"/>
        <w:gridCol w:w="1270"/>
        <w:gridCol w:w="1550"/>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669" w:type="pct"/>
            <w:gridSpan w:val="2"/>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rPr>
                <w:rFonts w:ascii="Times New Roman" w:hAnsi="Times New Roman" w:eastAsia="宋体" w:cs="Times New Roman"/>
                <w:b w:val="0"/>
                <w:bCs w:val="0"/>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szCs w:val="21"/>
                <w14:textFill>
                  <w14:solidFill>
                    <w14:schemeClr w14:val="bg1"/>
                  </w14:solidFill>
                </w14:textFill>
              </w:rPr>
              <w:t>统计指标</w:t>
            </w:r>
          </w:p>
        </w:tc>
        <w:tc>
          <w:tcPr>
            <w:tcW w:w="1666" w:type="pct"/>
            <w:gridSpan w:val="3"/>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rPr>
                <w:rFonts w:ascii="Times New Roman" w:hAnsi="Times New Roman" w:eastAsia="宋体" w:cs="Times New Roman"/>
                <w:b w:val="0"/>
                <w:bCs w:val="0"/>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szCs w:val="21"/>
                <w14:textFill>
                  <w14:solidFill>
                    <w14:schemeClr w14:val="bg1"/>
                  </w14:solidFill>
                </w14:textFill>
              </w:rPr>
              <w:t>消耗量</w:t>
            </w:r>
          </w:p>
        </w:tc>
        <w:tc>
          <w:tcPr>
            <w:tcW w:w="1666" w:type="pct"/>
            <w:gridSpan w:val="2"/>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rPr>
                <w:rFonts w:ascii="Times New Roman" w:hAnsi="Times New Roman" w:eastAsia="宋体" w:cs="Times New Roman"/>
                <w:b w:val="0"/>
                <w:bCs w:val="0"/>
                <w:color w:val="FFFFFF" w:themeColor="background1"/>
                <w:szCs w:val="21"/>
                <w14:textFill>
                  <w14:solidFill>
                    <w14:schemeClr w14:val="bg1"/>
                  </w14:solidFill>
                </w14:textFill>
              </w:rPr>
            </w:pPr>
            <w:r>
              <w:rPr>
                <w:rFonts w:hint="eastAsia" w:ascii="Times New Roman" w:hAnsi="Times New Roman" w:eastAsia="宋体" w:cs="Times New Roman"/>
                <w:b/>
                <w:bCs/>
                <w:color w:val="FFFFFF" w:themeColor="background1"/>
                <w:szCs w:val="21"/>
                <w14:textFill>
                  <w14:solidFill>
                    <w14:schemeClr w14:val="bg1"/>
                  </w14:solidFill>
                </w14:textFill>
              </w:rPr>
              <w:t>人均消耗量</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822" w:type="pct"/>
            <w:gridSpan w:val="3"/>
            <w:shd w:val="clear" w:color="auto" w:fill="DEEAF6" w:themeFill="accent5" w:themeFillTint="33"/>
            <w:vAlign w:val="center"/>
          </w:tcPr>
          <w:p>
            <w:pPr>
              <w:widowControl/>
              <w:spacing w:line="360" w:lineRule="auto"/>
              <w:rPr>
                <w:rFonts w:ascii="Times New Roman" w:hAnsi="Times New Roman" w:eastAsia="宋体" w:cs="Times New Roman"/>
                <w:b w:val="0"/>
                <w:bCs w:val="0"/>
                <w:color w:val="FFFFFF" w:themeColor="background1"/>
                <w:szCs w:val="21"/>
                <w14:textFill>
                  <w14:solidFill>
                    <w14:schemeClr w14:val="bg1"/>
                  </w14:solidFill>
                </w14:textFill>
              </w:rPr>
            </w:pPr>
          </w:p>
        </w:tc>
        <w:tc>
          <w:tcPr>
            <w:tcW w:w="597"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916"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c>
          <w:tcPr>
            <w:tcW w:w="750"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916" w:type="pct"/>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636" w:hRule="atLeast"/>
        </w:trPr>
        <w:tc>
          <w:tcPr>
            <w:tcW w:w="834" w:type="pct"/>
            <w:vMerge w:val="restart"/>
            <w:vAlign w:val="center"/>
          </w:tcPr>
          <w:p>
            <w:pPr>
              <w:spacing w:line="360" w:lineRule="auto"/>
              <w:rPr>
                <w:rFonts w:ascii="Times New Roman" w:hAnsi="Times New Roman" w:eastAsia="宋体" w:cs="Times New Roman"/>
                <w:b/>
                <w:bCs/>
                <w:szCs w:val="21"/>
                <w:highlight w:val="none"/>
              </w:rPr>
            </w:pPr>
            <w:r>
              <w:rPr>
                <w:rFonts w:ascii="Times New Roman" w:hAnsi="Times New Roman" w:eastAsia="宋体" w:cs="Times New Roman"/>
                <w:b w:val="0"/>
                <w:bCs w:val="0"/>
                <w:color w:val="000000" w:themeColor="text1"/>
                <w:szCs w:val="21"/>
                <w:highlight w:val="none"/>
                <w14:textFill>
                  <w14:solidFill>
                    <w14:schemeClr w14:val="tx1"/>
                  </w14:solidFill>
                </w14:textFill>
              </w:rPr>
              <w:t>间接自然资源消耗</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（范围</w:t>
            </w: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二</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w:t>
            </w:r>
          </w:p>
        </w:tc>
        <w:tc>
          <w:tcPr>
            <w:tcW w:w="987" w:type="pct"/>
            <w:gridSpan w:val="2"/>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color w:val="000000" w:themeColor="text1"/>
                <w:szCs w:val="21"/>
                <w:highlight w:val="none"/>
                <w14:textFill>
                  <w14:solidFill>
                    <w14:schemeClr w14:val="tx1"/>
                  </w14:solidFill>
                </w14:textFill>
              </w:rPr>
              <w:t>营业、办公消耗的电力</w:t>
            </w:r>
          </w:p>
        </w:tc>
        <w:tc>
          <w:tcPr>
            <w:tcW w:w="597" w:type="pct"/>
            <w:vAlign w:val="center"/>
          </w:tcPr>
          <w:p>
            <w:pPr>
              <w:spacing w:line="360" w:lineRule="auto"/>
              <w:jc w:val="center"/>
              <w:rPr>
                <w:rFonts w:ascii="Times New Roman" w:hAnsi="Times New Roman" w:eastAsia="宋体" w:cs="Times New Roman"/>
                <w:szCs w:val="21"/>
                <w:highlight w:val="none"/>
                <w:lang w:eastAsia="zh-Hans"/>
              </w:rPr>
            </w:pPr>
            <w:r>
              <w:rPr>
                <w:rFonts w:ascii="Times New Roman" w:hAnsi="Times New Roman" w:eastAsia="宋体" w:cs="Times New Roman"/>
                <w:szCs w:val="21"/>
                <w:highlight w:val="none"/>
              </w:rPr>
              <w:t>377</w:t>
            </w:r>
            <w:r>
              <w:rPr>
                <w:rFonts w:hint="eastAsia" w:ascii="Times New Roman" w:hAnsi="Times New Roman" w:eastAsia="宋体" w:cs="Times New Roman"/>
                <w:szCs w:val="21"/>
                <w:highlight w:val="none"/>
                <w:lang w:eastAsia="zh-Hans"/>
              </w:rPr>
              <w:t>.</w:t>
            </w:r>
            <w:r>
              <w:rPr>
                <w:rFonts w:ascii="Times New Roman" w:hAnsi="Times New Roman" w:eastAsia="宋体" w:cs="Times New Roman"/>
                <w:szCs w:val="21"/>
                <w:highlight w:val="none"/>
                <w:lang w:eastAsia="zh-Hans"/>
              </w:rPr>
              <w:t>66</w:t>
            </w:r>
          </w:p>
        </w:tc>
        <w:tc>
          <w:tcPr>
            <w:tcW w:w="916"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color w:val="000000" w:themeColor="text1"/>
                <w:szCs w:val="21"/>
                <w:highlight w:val="none"/>
                <w14:textFill>
                  <w14:solidFill>
                    <w14:schemeClr w14:val="tx1"/>
                  </w14:solidFill>
                </w14:textFill>
              </w:rPr>
              <w:t>万千瓦时</w:t>
            </w:r>
          </w:p>
        </w:tc>
        <w:tc>
          <w:tcPr>
            <w:tcW w:w="750" w:type="pct"/>
            <w:vAlign w:val="center"/>
          </w:tcPr>
          <w:p>
            <w:pPr>
              <w:spacing w:line="360" w:lineRule="auto"/>
              <w:jc w:val="center"/>
              <w:rPr>
                <w:rFonts w:ascii="Times New Roman" w:hAnsi="Times New Roman" w:eastAsia="宋体" w:cs="Times New Roman"/>
                <w:szCs w:val="21"/>
                <w:highlight w:val="none"/>
                <w:lang w:eastAsia="zh-Hans"/>
              </w:rPr>
            </w:pPr>
            <w:r>
              <w:rPr>
                <w:rFonts w:ascii="Times New Roman" w:hAnsi="Times New Roman" w:eastAsia="宋体" w:cs="Times New Roman"/>
                <w:szCs w:val="21"/>
                <w:highlight w:val="none"/>
              </w:rPr>
              <w:t>0</w:t>
            </w:r>
            <w:r>
              <w:rPr>
                <w:rFonts w:hint="eastAsia" w:ascii="Times New Roman" w:hAnsi="Times New Roman" w:eastAsia="宋体" w:cs="Times New Roman"/>
                <w:szCs w:val="21"/>
                <w:highlight w:val="none"/>
                <w:lang w:eastAsia="zh-Hans"/>
              </w:rPr>
              <w:t>.</w:t>
            </w:r>
            <w:r>
              <w:rPr>
                <w:rFonts w:ascii="Times New Roman" w:hAnsi="Times New Roman" w:eastAsia="宋体" w:cs="Times New Roman"/>
                <w:szCs w:val="21"/>
                <w:highlight w:val="none"/>
                <w:lang w:eastAsia="zh-Hans"/>
              </w:rPr>
              <w:t>16</w:t>
            </w:r>
          </w:p>
        </w:tc>
        <w:tc>
          <w:tcPr>
            <w:tcW w:w="916"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color w:val="000000" w:themeColor="text1"/>
                <w:szCs w:val="21"/>
                <w:highlight w:val="none"/>
                <w14:textFill>
                  <w14:solidFill>
                    <w14:schemeClr w14:val="tx1"/>
                  </w14:solidFill>
                </w14:textFill>
              </w:rPr>
              <w:t>万千瓦时/人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8" w:hRule="atLeast"/>
        </w:trPr>
        <w:tc>
          <w:tcPr>
            <w:tcW w:w="834" w:type="pct"/>
            <w:vMerge w:val="continue"/>
            <w:shd w:val="clear" w:color="auto" w:fill="DEEAF6" w:themeFill="accent5" w:themeFillTint="33"/>
            <w:vAlign w:val="center"/>
          </w:tcPr>
          <w:p>
            <w:pPr>
              <w:widowControl/>
              <w:spacing w:line="360" w:lineRule="auto"/>
              <w:rPr>
                <w:rFonts w:ascii="Times New Roman" w:hAnsi="Times New Roman" w:eastAsia="宋体" w:cs="Times New Roman"/>
                <w:b w:val="0"/>
                <w:bCs w:val="0"/>
                <w:color w:val="000000" w:themeColor="text1"/>
                <w:szCs w:val="21"/>
                <w14:textFill>
                  <w14:solidFill>
                    <w14:schemeClr w14:val="tx1"/>
                  </w14:solidFill>
                </w14:textFill>
              </w:rPr>
            </w:pPr>
          </w:p>
        </w:tc>
        <w:tc>
          <w:tcPr>
            <w:tcW w:w="987" w:type="pct"/>
            <w:gridSpan w:val="2"/>
            <w:shd w:val="clear" w:color="auto" w:fill="DEEAF6" w:themeFill="accent5" w:themeFillTint="33"/>
            <w:vAlign w:val="center"/>
          </w:tcPr>
          <w:p>
            <w:pPr>
              <w:spacing w:line="360" w:lineRule="auto"/>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营业、办公使用的纸张</w:t>
            </w:r>
          </w:p>
        </w:tc>
        <w:tc>
          <w:tcPr>
            <w:tcW w:w="597" w:type="pct"/>
            <w:shd w:val="clear" w:color="auto" w:fill="DEEAF6" w:themeFill="accent5" w:themeFillTint="33"/>
            <w:vAlign w:val="center"/>
          </w:tcPr>
          <w:p>
            <w:pPr>
              <w:spacing w:line="360" w:lineRule="auto"/>
              <w:jc w:val="center"/>
              <w:rPr>
                <w:rFonts w:ascii="Times New Roman" w:hAnsi="Times New Roman" w:eastAsia="宋体" w:cs="Times New Roman"/>
                <w:szCs w:val="21"/>
                <w:lang w:eastAsia="zh-Hans"/>
              </w:rPr>
            </w:pPr>
            <w:r>
              <w:rPr>
                <w:rFonts w:ascii="Times New Roman" w:hAnsi="Times New Roman" w:eastAsia="宋体" w:cs="Times New Roman"/>
                <w:szCs w:val="21"/>
                <w:lang w:eastAsia="zh-Hans"/>
              </w:rPr>
              <w:t>168</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25</w:t>
            </w:r>
          </w:p>
        </w:tc>
        <w:tc>
          <w:tcPr>
            <w:tcW w:w="916" w:type="pct"/>
            <w:shd w:val="clear" w:color="auto" w:fill="DEEAF6" w:themeFill="accent5" w:themeFillTint="33"/>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万张</w:t>
            </w:r>
          </w:p>
        </w:tc>
        <w:tc>
          <w:tcPr>
            <w:tcW w:w="750" w:type="pct"/>
            <w:shd w:val="clear" w:color="auto" w:fill="DEEAF6" w:themeFill="accent5" w:themeFillTint="33"/>
            <w:vAlign w:val="center"/>
          </w:tcPr>
          <w:p>
            <w:pPr>
              <w:spacing w:line="360" w:lineRule="auto"/>
              <w:jc w:val="center"/>
              <w:rPr>
                <w:rFonts w:ascii="Times New Roman" w:hAnsi="Times New Roman" w:eastAsia="宋体" w:cs="Times New Roman"/>
                <w:szCs w:val="21"/>
                <w:lang w:eastAsia="zh-Hans"/>
              </w:rPr>
            </w:pPr>
            <w:r>
              <w:rPr>
                <w:rFonts w:ascii="Times New Roman" w:hAnsi="Times New Roman" w:eastAsia="宋体" w:cs="Times New Roman"/>
                <w:szCs w:val="21"/>
              </w:rPr>
              <w:t>0</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07</w:t>
            </w:r>
          </w:p>
        </w:tc>
        <w:tc>
          <w:tcPr>
            <w:tcW w:w="916" w:type="pct"/>
            <w:shd w:val="clear" w:color="auto" w:fill="DEEAF6" w:themeFill="accent5" w:themeFillTint="33"/>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万张/人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0" w:hRule="atLeast"/>
        </w:trPr>
        <w:tc>
          <w:tcPr>
            <w:tcW w:w="834" w:type="pct"/>
            <w:vMerge w:val="continue"/>
            <w:vAlign w:val="center"/>
          </w:tcPr>
          <w:p>
            <w:pPr>
              <w:widowControl/>
              <w:spacing w:line="360" w:lineRule="auto"/>
              <w:rPr>
                <w:rFonts w:ascii="Times New Roman" w:hAnsi="Times New Roman" w:eastAsia="宋体" w:cs="Times New Roman"/>
                <w:b w:val="0"/>
                <w:bCs w:val="0"/>
                <w:color w:val="000000" w:themeColor="text1"/>
                <w:szCs w:val="21"/>
                <w14:textFill>
                  <w14:solidFill>
                    <w14:schemeClr w14:val="tx1"/>
                  </w14:solidFill>
                </w14:textFill>
              </w:rPr>
            </w:pPr>
          </w:p>
        </w:tc>
        <w:tc>
          <w:tcPr>
            <w:tcW w:w="987" w:type="pct"/>
            <w:gridSpan w:val="2"/>
            <w:vAlign w:val="center"/>
          </w:tcPr>
          <w:p>
            <w:pPr>
              <w:spacing w:line="360" w:lineRule="auto"/>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购买采暖（制冷）服务消耗的燃料</w:t>
            </w:r>
          </w:p>
        </w:tc>
        <w:tc>
          <w:tcPr>
            <w:tcW w:w="597" w:type="pc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916" w:type="pc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升</w:t>
            </w:r>
          </w:p>
        </w:tc>
        <w:tc>
          <w:tcPr>
            <w:tcW w:w="750" w:type="pc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916" w:type="pc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升/人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822" w:type="pct"/>
            <w:gridSpan w:val="3"/>
            <w:shd w:val="clear" w:color="auto" w:fill="DEEAF6" w:themeFill="accent5" w:themeFillTint="33"/>
            <w:vAlign w:val="center"/>
          </w:tcPr>
          <w:p>
            <w:pPr>
              <w:spacing w:line="360" w:lineRule="auto"/>
              <w:jc w:val="center"/>
              <w:rPr>
                <w:rFonts w:ascii="Times New Roman" w:hAnsi="Times New Roman" w:eastAsia="宋体" w:cs="Times New Roman"/>
                <w:b w:val="0"/>
                <w:bCs w:val="0"/>
                <w:szCs w:val="21"/>
              </w:rPr>
            </w:pPr>
            <w:r>
              <w:rPr>
                <w:rFonts w:hint="eastAsia" w:ascii="Times New Roman" w:hAnsi="Times New Roman" w:eastAsia="宋体" w:cs="Times New Roman"/>
                <w:b/>
                <w:bCs/>
                <w:szCs w:val="21"/>
              </w:rPr>
              <w:t>统计指标</w:t>
            </w:r>
          </w:p>
        </w:tc>
        <w:tc>
          <w:tcPr>
            <w:tcW w:w="1513" w:type="pct"/>
            <w:gridSpan w:val="2"/>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排放量</w:t>
            </w:r>
          </w:p>
        </w:tc>
        <w:tc>
          <w:tcPr>
            <w:tcW w:w="1666" w:type="pct"/>
            <w:gridSpan w:val="2"/>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人均排放量</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76" w:hRule="atLeast"/>
        </w:trPr>
        <w:tc>
          <w:tcPr>
            <w:tcW w:w="834" w:type="pct"/>
            <w:vAlign w:val="center"/>
          </w:tcPr>
          <w:p>
            <w:pPr>
              <w:widowControl/>
              <w:spacing w:line="360" w:lineRule="auto"/>
              <w:rPr>
                <w:rFonts w:ascii="Times New Roman" w:hAnsi="Times New Roman" w:eastAsia="宋体" w:cs="Times New Roman"/>
                <w:b w:val="0"/>
                <w:bCs w:val="0"/>
                <w:szCs w:val="21"/>
                <w:highlight w:val="none"/>
              </w:rPr>
            </w:pPr>
            <w:r>
              <w:rPr>
                <w:rFonts w:ascii="Times New Roman" w:hAnsi="Times New Roman" w:eastAsia="宋体" w:cs="Times New Roman"/>
                <w:b w:val="0"/>
                <w:bCs w:val="0"/>
                <w:szCs w:val="21"/>
                <w:highlight w:val="none"/>
              </w:rPr>
              <w:t>间接温室气体排放</w:t>
            </w:r>
          </w:p>
        </w:tc>
        <w:tc>
          <w:tcPr>
            <w:tcW w:w="987" w:type="pct"/>
            <w:gridSpan w:val="2"/>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间接温室</w:t>
            </w:r>
            <w:r>
              <w:rPr>
                <w:rFonts w:hint="eastAsia" w:ascii="Times New Roman" w:hAnsi="Times New Roman" w:eastAsia="宋体" w:cs="Times New Roman"/>
                <w:szCs w:val="21"/>
                <w:highlight w:val="none"/>
              </w:rPr>
              <w:t>气体</w:t>
            </w:r>
            <w:r>
              <w:rPr>
                <w:rFonts w:ascii="Times New Roman" w:hAnsi="Times New Roman" w:eastAsia="宋体" w:cs="Times New Roman"/>
                <w:szCs w:val="21"/>
                <w:highlight w:val="none"/>
              </w:rPr>
              <w:t>排放总量</w:t>
            </w:r>
          </w:p>
        </w:tc>
        <w:tc>
          <w:tcPr>
            <w:tcW w:w="597" w:type="pct"/>
            <w:vAlign w:val="center"/>
          </w:tcPr>
          <w:p>
            <w:pPr>
              <w:spacing w:line="360" w:lineRule="auto"/>
              <w:jc w:val="center"/>
              <w:rPr>
                <w:rFonts w:ascii="Times New Roman" w:hAnsi="Times New Roman" w:eastAsia="宋体" w:cs="Times New Roman"/>
                <w:szCs w:val="21"/>
                <w:highlight w:val="none"/>
                <w:lang w:eastAsia="zh-Hans"/>
              </w:rPr>
            </w:pPr>
            <w:r>
              <w:rPr>
                <w:rFonts w:hint="eastAsia" w:ascii="Times New Roman" w:hAnsi="Times New Roman" w:eastAsia="宋体" w:cs="Times New Roman"/>
                <w:szCs w:val="21"/>
                <w:highlight w:val="none"/>
                <w:lang w:eastAsia="zh-Hans"/>
              </w:rPr>
              <w:t>3</w:t>
            </w:r>
            <w:r>
              <w:rPr>
                <w:rFonts w:hint="eastAsia" w:ascii="Times New Roman" w:hAnsi="Times New Roman" w:eastAsia="宋体" w:cs="Times New Roman"/>
                <w:szCs w:val="21"/>
                <w:highlight w:val="none"/>
                <w:lang w:val="en-US" w:eastAsia="zh-CN"/>
              </w:rPr>
              <w:t>,</w:t>
            </w:r>
            <w:r>
              <w:rPr>
                <w:rFonts w:hint="eastAsia" w:ascii="Times New Roman" w:hAnsi="Times New Roman" w:eastAsia="宋体" w:cs="Times New Roman"/>
                <w:szCs w:val="21"/>
                <w:highlight w:val="none"/>
                <w:lang w:eastAsia="zh-Hans"/>
              </w:rPr>
              <w:t>049.6</w:t>
            </w:r>
            <w:r>
              <w:rPr>
                <w:rFonts w:hint="eastAsia" w:ascii="Times New Roman" w:hAnsi="Times New Roman" w:eastAsia="宋体" w:cs="Times New Roman"/>
                <w:szCs w:val="21"/>
                <w:highlight w:val="none"/>
                <w:lang w:val="en-US" w:eastAsia="zh-CN"/>
              </w:rPr>
              <w:t>2</w:t>
            </w:r>
          </w:p>
        </w:tc>
        <w:tc>
          <w:tcPr>
            <w:tcW w:w="916"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吨二氧化碳当量</w:t>
            </w:r>
          </w:p>
        </w:tc>
        <w:tc>
          <w:tcPr>
            <w:tcW w:w="750" w:type="pct"/>
            <w:vAlign w:val="center"/>
          </w:tcPr>
          <w:p>
            <w:pPr>
              <w:spacing w:line="360" w:lineRule="auto"/>
              <w:jc w:val="center"/>
              <w:rPr>
                <w:rFonts w:ascii="Times New Roman" w:hAnsi="Times New Roman" w:eastAsia="宋体" w:cs="Times New Roman"/>
                <w:szCs w:val="21"/>
                <w:highlight w:val="none"/>
                <w:lang w:eastAsia="zh-Hans"/>
              </w:rPr>
            </w:pPr>
            <w:r>
              <w:rPr>
                <w:rFonts w:hint="eastAsia" w:ascii="Times New Roman" w:hAnsi="Times New Roman" w:eastAsia="宋体" w:cs="Times New Roman"/>
                <w:szCs w:val="21"/>
                <w:highlight w:val="none"/>
                <w:lang w:eastAsia="zh-Hans"/>
              </w:rPr>
              <w:t>1.32</w:t>
            </w:r>
            <w:r>
              <w:rPr>
                <w:rFonts w:hint="eastAsia" w:ascii="Times New Roman" w:hAnsi="Times New Roman" w:eastAsia="宋体" w:cs="Times New Roman"/>
                <w:szCs w:val="21"/>
                <w:highlight w:val="none"/>
                <w:lang w:val="en-US" w:eastAsia="zh-CN"/>
              </w:rPr>
              <w:t>6</w:t>
            </w:r>
          </w:p>
        </w:tc>
        <w:tc>
          <w:tcPr>
            <w:tcW w:w="916"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吨二氧化碳当量/人</w:t>
            </w:r>
          </w:p>
        </w:tc>
      </w:tr>
    </w:tbl>
    <w:p>
      <w:pPr>
        <w:pStyle w:val="2"/>
        <w:spacing w:line="360" w:lineRule="auto"/>
        <w:ind w:left="0" w:leftChars="0" w:firstLine="0" w:firstLineChars="0"/>
        <w:rPr>
          <w:rFonts w:hint="default" w:ascii="Times New Roman" w:hAnsi="Times New Roman" w:eastAsia="宋体"/>
          <w:szCs w:val="21"/>
        </w:rPr>
      </w:pPr>
      <w:r>
        <w:rPr>
          <w:rFonts w:hint="default" w:ascii="Times New Roman" w:hAnsi="Times New Roman" w:eastAsia="宋体"/>
          <w:szCs w:val="21"/>
        </w:rPr>
        <w:t>注：1.</w:t>
      </w:r>
      <w:r>
        <w:rPr>
          <w:rFonts w:ascii="Times New Roman" w:hAnsi="Times New Roman" w:eastAsia="宋体"/>
          <w:szCs w:val="21"/>
        </w:rPr>
        <w:t>间接温室气体排放总量（范围二）为总行经营办公活动的电力和纸张消耗；</w:t>
      </w:r>
    </w:p>
    <w:p>
      <w:pPr>
        <w:pStyle w:val="2"/>
        <w:numPr>
          <w:ilvl w:val="0"/>
          <w:numId w:val="0"/>
        </w:numPr>
        <w:spacing w:line="360" w:lineRule="auto"/>
        <w:ind w:firstLine="420" w:firstLineChars="200"/>
        <w:rPr>
          <w:rFonts w:hint="default" w:ascii="Times New Roman" w:hAnsi="Times New Roman" w:eastAsia="宋体"/>
          <w:szCs w:val="21"/>
        </w:rPr>
      </w:pPr>
      <w:r>
        <w:rPr>
          <w:rFonts w:hint="eastAsia" w:ascii="Times New Roman" w:hAnsi="Times New Roman" w:eastAsia="宋体"/>
          <w:szCs w:val="21"/>
          <w:lang w:val="en-US" w:eastAsia="zh-CN"/>
        </w:rPr>
        <w:t>2</w:t>
      </w:r>
      <w:r>
        <w:rPr>
          <w:rFonts w:hint="default" w:ascii="Times New Roman" w:hAnsi="Times New Roman" w:eastAsia="宋体"/>
          <w:szCs w:val="21"/>
        </w:rPr>
        <w:t>.</w:t>
      </w:r>
      <w:r>
        <w:rPr>
          <w:rFonts w:ascii="Times New Roman" w:hAnsi="Times New Roman" w:eastAsia="宋体"/>
          <w:szCs w:val="21"/>
        </w:rPr>
        <w:t>间接温室气体人均排放量以</w:t>
      </w:r>
      <w:r>
        <w:rPr>
          <w:rFonts w:hint="default" w:ascii="Times New Roman" w:hAnsi="Times New Roman" w:eastAsia="宋体"/>
          <w:szCs w:val="21"/>
        </w:rPr>
        <w:t>现有员工数2</w:t>
      </w:r>
      <w:r>
        <w:rPr>
          <w:rFonts w:hint="eastAsia" w:ascii="Times New Roman" w:hAnsi="Times New Roman" w:eastAsia="宋体"/>
          <w:szCs w:val="21"/>
          <w:lang w:val="en-US" w:eastAsia="zh-CN"/>
        </w:rPr>
        <w:t>,</w:t>
      </w:r>
      <w:r>
        <w:rPr>
          <w:rFonts w:hint="default" w:ascii="Times New Roman" w:hAnsi="Times New Roman" w:eastAsia="宋体"/>
          <w:szCs w:val="21"/>
        </w:rPr>
        <w:t>300人</w:t>
      </w:r>
      <w:r>
        <w:rPr>
          <w:rFonts w:ascii="Times New Roman" w:hAnsi="Times New Roman" w:eastAsia="宋体"/>
          <w:szCs w:val="21"/>
        </w:rPr>
        <w:t>为基础测算</w:t>
      </w:r>
      <w:r>
        <w:rPr>
          <w:rFonts w:hint="default" w:ascii="Times New Roman" w:hAnsi="Times New Roman" w:eastAsia="宋体"/>
          <w:szCs w:val="21"/>
        </w:rPr>
        <w:t>。</w:t>
      </w:r>
    </w:p>
    <w:p>
      <w:pPr>
        <w:pStyle w:val="5"/>
        <w:keepNext w:val="0"/>
        <w:keepLines w:val="0"/>
        <w:numPr>
          <w:ilvl w:val="0"/>
          <w:numId w:val="12"/>
        </w:numPr>
        <w:spacing w:line="360" w:lineRule="auto"/>
        <w:jc w:val="both"/>
        <w:rPr>
          <w:rFonts w:cstheme="minorBidi"/>
          <w:bCs w:val="0"/>
          <w:color w:val="2E75B6" w:themeColor="accent5" w:themeShade="BF"/>
          <w:highlight w:val="none"/>
        </w:rPr>
      </w:pPr>
      <w:bookmarkStart w:id="243" w:name="_Toc8273"/>
      <w:r>
        <w:rPr>
          <w:rFonts w:hint="eastAsia" w:cstheme="minorBidi"/>
          <w:bCs w:val="0"/>
          <w:color w:val="2E75B6" w:themeColor="accent5" w:themeShade="BF"/>
          <w:highlight w:val="none"/>
          <w:lang w:val="en-US" w:eastAsia="zh-CN"/>
        </w:rPr>
        <w:t>员工通勤</w:t>
      </w:r>
      <w:r>
        <w:rPr>
          <w:rFonts w:hint="eastAsia" w:cstheme="minorBidi"/>
          <w:bCs w:val="0"/>
          <w:color w:val="2E75B6" w:themeColor="accent5" w:themeShade="BF"/>
          <w:highlight w:val="none"/>
        </w:rPr>
        <w:t>产生的间接温室气体排放和间接自然资源消耗</w:t>
      </w:r>
      <w:bookmarkEnd w:id="243"/>
    </w:p>
    <w:p>
      <w:pPr>
        <w:spacing w:line="360" w:lineRule="auto"/>
        <w:ind w:firstLine="480" w:firstLineChars="200"/>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shd w:val="clear" w:color="auto" w:fill="FFFFFF"/>
          <w:lang w:val="en-US" w:eastAsia="zh-CN"/>
        </w:rPr>
        <w:t>员工通勤</w:t>
      </w:r>
      <w:r>
        <w:rPr>
          <w:rFonts w:hint="eastAsia" w:ascii="Times New Roman" w:hAnsi="Times New Roman" w:eastAsia="宋体" w:cs="宋体"/>
          <w:sz w:val="24"/>
          <w:szCs w:val="24"/>
          <w:highlight w:val="none"/>
          <w:shd w:val="clear" w:color="auto" w:fill="FFFFFF"/>
        </w:rPr>
        <w:t>产生的间接自然资源消耗方面，</w:t>
      </w:r>
      <w:r>
        <w:rPr>
          <w:rFonts w:ascii="Times New Roman" w:hAnsi="Times New Roman" w:eastAsia="宋体" w:cs="宋体"/>
          <w:sz w:val="24"/>
          <w:szCs w:val="24"/>
          <w:highlight w:val="none"/>
          <w:shd w:val="clear" w:color="auto" w:fill="FFFFFF"/>
        </w:rPr>
        <w:t>2022</w:t>
      </w:r>
      <w:r>
        <w:rPr>
          <w:rFonts w:hint="eastAsia" w:ascii="Times New Roman" w:hAnsi="Times New Roman" w:eastAsia="宋体" w:cs="宋体"/>
          <w:sz w:val="24"/>
          <w:szCs w:val="24"/>
          <w:highlight w:val="none"/>
          <w:shd w:val="clear" w:color="auto" w:fill="FFFFFF"/>
        </w:rPr>
        <w:t>年，</w:t>
      </w:r>
      <w:r>
        <w:rPr>
          <w:rFonts w:hint="eastAsia" w:ascii="Times New Roman" w:hAnsi="Times New Roman" w:eastAsia="宋体" w:cs="宋体"/>
          <w:sz w:val="24"/>
          <w:szCs w:val="24"/>
          <w:highlight w:val="none"/>
        </w:rPr>
        <w:t>本行</w:t>
      </w:r>
      <w:r>
        <w:rPr>
          <w:rFonts w:hint="eastAsia" w:ascii="Times New Roman" w:hAnsi="Times New Roman" w:eastAsia="宋体" w:cs="宋体"/>
          <w:sz w:val="24"/>
          <w:szCs w:val="24"/>
          <w:highlight w:val="none"/>
          <w:lang w:val="en-US" w:eastAsia="zh-CN"/>
        </w:rPr>
        <w:t>员工公交车通勤里程数184,005公里，公交通勤人数30人，人均里程数6,133.5公里；小汽车或出租车通勤里程数12,507,539.7公里，汽车通勤人数2,046人，人均里程数6,113.17公里；224人采取步行、自行车、电动车等绿色环保方式通勤。</w:t>
      </w:r>
    </w:p>
    <w:p>
      <w:pPr>
        <w:spacing w:line="360" w:lineRule="auto"/>
        <w:ind w:firstLine="480" w:firstLineChars="200"/>
        <w:rPr>
          <w:rFonts w:ascii="Times New Roman" w:hAnsi="Times New Roman" w:eastAsia="宋体" w:cs="宋体"/>
          <w:sz w:val="24"/>
          <w:szCs w:val="24"/>
          <w:highlight w:val="none"/>
          <w:shd w:val="clear" w:color="auto" w:fill="FFFFFF"/>
        </w:rPr>
      </w:pPr>
      <w:r>
        <w:rPr>
          <w:rFonts w:hint="eastAsia" w:ascii="Times New Roman" w:hAnsi="Times New Roman" w:eastAsia="宋体" w:cs="宋体"/>
          <w:sz w:val="24"/>
          <w:szCs w:val="24"/>
          <w:highlight w:val="none"/>
          <w:shd w:val="clear" w:color="auto" w:fill="FFFFFF"/>
          <w:lang w:val="en-US" w:eastAsia="zh-CN"/>
        </w:rPr>
        <w:t>员工通勤</w:t>
      </w:r>
      <w:r>
        <w:rPr>
          <w:rFonts w:hint="eastAsia" w:ascii="Times New Roman" w:hAnsi="Times New Roman" w:eastAsia="宋体" w:cs="宋体"/>
          <w:sz w:val="24"/>
          <w:szCs w:val="24"/>
          <w:highlight w:val="none"/>
          <w:shd w:val="clear" w:color="auto" w:fill="FFFFFF"/>
        </w:rPr>
        <w:t>产生的间接</w:t>
      </w:r>
      <w:r>
        <w:rPr>
          <w:rFonts w:hint="eastAsia" w:ascii="Times New Roman" w:hAnsi="Times New Roman" w:eastAsia="宋体" w:cs="宋体"/>
          <w:sz w:val="24"/>
          <w:szCs w:val="24"/>
          <w:highlight w:val="none"/>
        </w:rPr>
        <w:t>温室气体排放方面，</w:t>
      </w:r>
      <w:r>
        <w:rPr>
          <w:rFonts w:ascii="Times New Roman" w:hAnsi="Times New Roman" w:eastAsia="宋体" w:cs="宋体"/>
          <w:sz w:val="24"/>
          <w:szCs w:val="24"/>
          <w:highlight w:val="none"/>
        </w:rPr>
        <w:t>2022</w:t>
      </w:r>
      <w:r>
        <w:rPr>
          <w:rFonts w:hint="eastAsia" w:ascii="Times New Roman" w:hAnsi="Times New Roman" w:eastAsia="宋体" w:cs="宋体"/>
          <w:sz w:val="24"/>
          <w:szCs w:val="24"/>
          <w:highlight w:val="none"/>
        </w:rPr>
        <w:t>年，本行</w:t>
      </w:r>
      <w:r>
        <w:rPr>
          <w:rFonts w:hint="eastAsia" w:ascii="Times New Roman" w:hAnsi="Times New Roman" w:eastAsia="宋体" w:cs="宋体"/>
          <w:sz w:val="24"/>
          <w:szCs w:val="24"/>
          <w:highlight w:val="none"/>
          <w:shd w:val="clear" w:color="auto" w:fill="FFFFFF"/>
          <w:lang w:val="en-US" w:eastAsia="zh-CN"/>
        </w:rPr>
        <w:t>员工通勤</w:t>
      </w:r>
      <w:r>
        <w:rPr>
          <w:rFonts w:hint="eastAsia" w:ascii="Times New Roman" w:hAnsi="Times New Roman" w:eastAsia="宋体" w:cs="宋体"/>
          <w:sz w:val="24"/>
          <w:szCs w:val="24"/>
          <w:highlight w:val="none"/>
          <w:shd w:val="clear" w:color="auto" w:fill="FFFFFF"/>
        </w:rPr>
        <w:t>产生的</w:t>
      </w:r>
      <w:r>
        <w:rPr>
          <w:rFonts w:hint="eastAsia" w:ascii="Times New Roman" w:hAnsi="Times New Roman" w:eastAsia="宋体" w:cs="宋体"/>
          <w:sz w:val="24"/>
          <w:szCs w:val="24"/>
          <w:highlight w:val="none"/>
        </w:rPr>
        <w:t>温室气体排放</w:t>
      </w:r>
      <w:r>
        <w:rPr>
          <w:rFonts w:hint="eastAsia" w:ascii="Times New Roman" w:hAnsi="Times New Roman" w:eastAsia="宋体" w:cs="宋体"/>
          <w:sz w:val="24"/>
          <w:szCs w:val="24"/>
          <w:highlight w:val="none"/>
          <w:shd w:val="clear" w:color="auto" w:fill="FFFFFF"/>
        </w:rPr>
        <w:t>总量</w:t>
      </w:r>
      <w:r>
        <w:rPr>
          <w:rFonts w:hint="eastAsia" w:ascii="Times New Roman" w:hAnsi="Times New Roman" w:eastAsia="宋体" w:cs="宋体"/>
          <w:sz w:val="24"/>
          <w:szCs w:val="24"/>
          <w:highlight w:val="none"/>
          <w:shd w:val="clear" w:color="auto" w:fill="FFFFFF"/>
          <w:lang w:val="en-US" w:eastAsia="zh-CN"/>
        </w:rPr>
        <w:t>377.07</w:t>
      </w:r>
      <w:r>
        <w:rPr>
          <w:rFonts w:hint="eastAsia" w:ascii="Times New Roman" w:hAnsi="Times New Roman" w:eastAsia="宋体" w:cs="宋体"/>
          <w:sz w:val="24"/>
          <w:szCs w:val="24"/>
          <w:highlight w:val="none"/>
          <w:shd w:val="clear" w:color="auto" w:fill="FFFFFF"/>
        </w:rPr>
        <w:t>吨二氧化碳当量，人均排放</w:t>
      </w:r>
      <w:r>
        <w:rPr>
          <w:rFonts w:hint="eastAsia" w:ascii="Times New Roman" w:hAnsi="Times New Roman" w:eastAsia="宋体" w:cs="宋体"/>
          <w:sz w:val="24"/>
          <w:szCs w:val="24"/>
          <w:highlight w:val="none"/>
          <w:shd w:val="clear" w:color="auto" w:fill="FFFFFF"/>
          <w:lang w:val="en-US" w:eastAsia="zh-CN"/>
        </w:rPr>
        <w:t>0.1639</w:t>
      </w:r>
      <w:r>
        <w:rPr>
          <w:rFonts w:hint="eastAsia" w:ascii="Times New Roman" w:hAnsi="Times New Roman" w:eastAsia="宋体" w:cs="宋体"/>
          <w:sz w:val="24"/>
          <w:szCs w:val="24"/>
          <w:highlight w:val="none"/>
          <w:shd w:val="clear" w:color="auto" w:fill="FFFFFF"/>
        </w:rPr>
        <w:t>吨二氧化碳当量。</w:t>
      </w:r>
    </w:p>
    <w:p>
      <w:pPr>
        <w:pStyle w:val="2"/>
        <w:spacing w:line="360" w:lineRule="auto"/>
        <w:ind w:left="0" w:leftChars="0" w:firstLine="0" w:firstLineChars="0"/>
        <w:jc w:val="center"/>
        <w:rPr>
          <w:rFonts w:hint="default" w:ascii="Times New Roman" w:hAnsi="Times New Roman" w:eastAsia="黑体" w:cs="宋体"/>
          <w:highlight w:val="none"/>
        </w:rPr>
      </w:pPr>
      <w:r>
        <w:rPr>
          <w:rFonts w:ascii="Times New Roman" w:hAnsi="Times New Roman" w:eastAsia="黑体" w:cs="宋体"/>
          <w:highlight w:val="none"/>
        </w:rPr>
        <w:t>表</w:t>
      </w:r>
      <w:r>
        <w:rPr>
          <w:rFonts w:hint="default" w:ascii="Times New Roman" w:hAnsi="Times New Roman" w:eastAsia="黑体" w:cs="宋体"/>
          <w:highlight w:val="none"/>
        </w:rPr>
        <w:t>8-</w:t>
      </w:r>
      <w:r>
        <w:rPr>
          <w:rFonts w:hint="eastAsia" w:ascii="Times New Roman" w:hAnsi="Times New Roman" w:eastAsia="黑体" w:cs="宋体"/>
          <w:highlight w:val="none"/>
          <w:lang w:val="en-US" w:eastAsia="zh-CN"/>
        </w:rPr>
        <w:t>3</w:t>
      </w:r>
      <w:r>
        <w:rPr>
          <w:rFonts w:ascii="Times New Roman" w:hAnsi="Times New Roman" w:eastAsia="黑体" w:cs="宋体"/>
          <w:highlight w:val="none"/>
        </w:rPr>
        <w:t>：</w:t>
      </w:r>
      <w:r>
        <w:rPr>
          <w:rFonts w:hint="eastAsia" w:ascii="Times New Roman" w:hAnsi="Times New Roman" w:eastAsia="黑体" w:cs="宋体"/>
          <w:highlight w:val="none"/>
          <w:lang w:val="en-US" w:eastAsia="zh-CN"/>
        </w:rPr>
        <w:t>员工通勤</w:t>
      </w:r>
      <w:r>
        <w:rPr>
          <w:rFonts w:ascii="Times New Roman" w:hAnsi="Times New Roman" w:eastAsia="黑体" w:cs="宋体"/>
          <w:highlight w:val="none"/>
        </w:rPr>
        <w:t>产生的间接温室气体排放和间接自然资源消耗（</w:t>
      </w:r>
      <w:r>
        <w:rPr>
          <w:rFonts w:hint="default" w:ascii="Times New Roman" w:hAnsi="Times New Roman" w:eastAsia="黑体" w:cs="宋体"/>
          <w:highlight w:val="none"/>
        </w:rPr>
        <w:t>2022</w:t>
      </w:r>
      <w:r>
        <w:rPr>
          <w:rFonts w:ascii="Times New Roman" w:hAnsi="Times New Roman" w:eastAsia="黑体" w:cs="宋体"/>
          <w:highlight w:val="none"/>
        </w:rPr>
        <w:t>年度）</w:t>
      </w:r>
    </w:p>
    <w:tbl>
      <w:tblPr>
        <w:tblStyle w:val="70"/>
        <w:tblW w:w="4968" w:type="pct"/>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1413"/>
        <w:gridCol w:w="1414"/>
        <w:gridCol w:w="259"/>
        <w:gridCol w:w="1011"/>
        <w:gridCol w:w="1551"/>
        <w:gridCol w:w="1270"/>
        <w:gridCol w:w="1550"/>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669" w:type="pct"/>
            <w:gridSpan w:val="2"/>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rPr>
                <w:rFonts w:ascii="Times New Roman" w:hAnsi="Times New Roman" w:eastAsia="宋体" w:cs="Times New Roman"/>
                <w:b w:val="0"/>
                <w:bCs w:val="0"/>
                <w:color w:val="FFFFFF" w:themeColor="background1"/>
                <w:szCs w:val="21"/>
                <w:highlight w:val="none"/>
                <w14:textFill>
                  <w14:solidFill>
                    <w14:schemeClr w14:val="bg1"/>
                  </w14:solidFill>
                </w14:textFill>
              </w:rPr>
            </w:pPr>
            <w:r>
              <w:rPr>
                <w:rFonts w:hint="eastAsia" w:ascii="Times New Roman" w:hAnsi="Times New Roman" w:eastAsia="宋体" w:cs="Times New Roman"/>
                <w:b/>
                <w:bCs/>
                <w:color w:val="FFFFFF" w:themeColor="background1"/>
                <w:szCs w:val="21"/>
                <w:highlight w:val="none"/>
                <w14:textFill>
                  <w14:solidFill>
                    <w14:schemeClr w14:val="bg1"/>
                  </w14:solidFill>
                </w14:textFill>
              </w:rPr>
              <w:t>统计指标</w:t>
            </w:r>
          </w:p>
        </w:tc>
        <w:tc>
          <w:tcPr>
            <w:tcW w:w="1665" w:type="pct"/>
            <w:gridSpan w:val="3"/>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rPr>
                <w:rFonts w:ascii="Times New Roman" w:hAnsi="Times New Roman" w:eastAsia="宋体" w:cs="Times New Roman"/>
                <w:b w:val="0"/>
                <w:bCs w:val="0"/>
                <w:color w:val="FFFFFF" w:themeColor="background1"/>
                <w:szCs w:val="21"/>
                <w:highlight w:val="none"/>
                <w14:textFill>
                  <w14:solidFill>
                    <w14:schemeClr w14:val="bg1"/>
                  </w14:solidFill>
                </w14:textFill>
              </w:rPr>
            </w:pPr>
            <w:r>
              <w:rPr>
                <w:rFonts w:hint="eastAsia" w:ascii="Times New Roman" w:hAnsi="Times New Roman" w:eastAsia="宋体" w:cs="Times New Roman"/>
                <w:b/>
                <w:bCs/>
                <w:color w:val="FFFFFF" w:themeColor="background1"/>
                <w:szCs w:val="21"/>
                <w:highlight w:val="none"/>
                <w:lang w:val="en-US" w:eastAsia="zh-CN"/>
                <w14:textFill>
                  <w14:solidFill>
                    <w14:schemeClr w14:val="bg1"/>
                  </w14:solidFill>
                </w14:textFill>
              </w:rPr>
              <w:t>里程数</w:t>
            </w:r>
          </w:p>
        </w:tc>
        <w:tc>
          <w:tcPr>
            <w:tcW w:w="1665" w:type="pct"/>
            <w:gridSpan w:val="2"/>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rPr>
                <w:rFonts w:hint="eastAsia" w:ascii="Times New Roman" w:hAnsi="Times New Roman" w:eastAsia="宋体" w:cs="Times New Roman"/>
                <w:b w:val="0"/>
                <w:bCs w:val="0"/>
                <w:color w:val="FFFFFF" w:themeColor="background1"/>
                <w:szCs w:val="21"/>
                <w:highlight w:val="none"/>
                <w:lang w:eastAsia="zh-CN"/>
                <w14:textFill>
                  <w14:solidFill>
                    <w14:schemeClr w14:val="bg1"/>
                  </w14:solidFill>
                </w14:textFill>
              </w:rPr>
            </w:pPr>
            <w:r>
              <w:rPr>
                <w:rFonts w:hint="eastAsia" w:ascii="Times New Roman" w:hAnsi="Times New Roman" w:eastAsia="宋体" w:cs="Times New Roman"/>
                <w:b/>
                <w:bCs/>
                <w:color w:val="FFFFFF" w:themeColor="background1"/>
                <w:szCs w:val="21"/>
                <w:highlight w:val="none"/>
                <w:lang w:val="en-US" w:eastAsia="zh-CN"/>
                <w14:textFill>
                  <w14:solidFill>
                    <w14:schemeClr w14:val="bg1"/>
                  </w14:solidFill>
                </w14:textFill>
              </w:rPr>
              <w:t>里程数</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822" w:type="pct"/>
            <w:gridSpan w:val="3"/>
            <w:shd w:val="clear" w:color="auto" w:fill="DEEAF6" w:themeFill="accent5" w:themeFillTint="33"/>
            <w:vAlign w:val="center"/>
          </w:tcPr>
          <w:p>
            <w:pPr>
              <w:widowControl/>
              <w:spacing w:line="360" w:lineRule="auto"/>
              <w:rPr>
                <w:rFonts w:ascii="Times New Roman" w:hAnsi="Times New Roman" w:eastAsia="宋体" w:cs="Times New Roman"/>
                <w:b w:val="0"/>
                <w:bCs w:val="0"/>
                <w:color w:val="FFFFFF" w:themeColor="background1"/>
                <w:szCs w:val="21"/>
                <w:highlight w:val="none"/>
                <w14:textFill>
                  <w14:solidFill>
                    <w14:schemeClr w14:val="bg1"/>
                  </w14:solidFill>
                </w14:textFill>
              </w:rPr>
            </w:pPr>
          </w:p>
        </w:tc>
        <w:tc>
          <w:tcPr>
            <w:tcW w:w="596" w:type="pct"/>
            <w:shd w:val="clear" w:color="auto" w:fill="DEEAF6" w:themeFill="accent5" w:themeFillTint="33"/>
            <w:vAlign w:val="center"/>
          </w:tcPr>
          <w:p>
            <w:pPr>
              <w:spacing w:line="360" w:lineRule="auto"/>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数值</w:t>
            </w:r>
          </w:p>
        </w:tc>
        <w:tc>
          <w:tcPr>
            <w:tcW w:w="915" w:type="pct"/>
            <w:shd w:val="clear" w:color="auto" w:fill="DEEAF6" w:themeFill="accent5" w:themeFillTint="33"/>
            <w:vAlign w:val="center"/>
          </w:tcPr>
          <w:p>
            <w:pPr>
              <w:spacing w:line="360" w:lineRule="auto"/>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单位</w:t>
            </w:r>
          </w:p>
        </w:tc>
        <w:tc>
          <w:tcPr>
            <w:tcW w:w="749" w:type="pct"/>
            <w:shd w:val="clear" w:color="auto" w:fill="DEEAF6" w:themeFill="accent5" w:themeFillTint="33"/>
            <w:vAlign w:val="center"/>
          </w:tcPr>
          <w:p>
            <w:pPr>
              <w:spacing w:line="360" w:lineRule="auto"/>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数值</w:t>
            </w:r>
          </w:p>
        </w:tc>
        <w:tc>
          <w:tcPr>
            <w:tcW w:w="915" w:type="pct"/>
            <w:shd w:val="clear" w:color="auto" w:fill="DEEAF6" w:themeFill="accent5" w:themeFillTint="33"/>
            <w:vAlign w:val="center"/>
          </w:tcPr>
          <w:p>
            <w:pPr>
              <w:spacing w:line="360" w:lineRule="auto"/>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单位</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636" w:hRule="atLeast"/>
        </w:trPr>
        <w:tc>
          <w:tcPr>
            <w:tcW w:w="834" w:type="pct"/>
            <w:vMerge w:val="restart"/>
            <w:vAlign w:val="center"/>
          </w:tcPr>
          <w:p>
            <w:pPr>
              <w:spacing w:line="360" w:lineRule="auto"/>
              <w:rPr>
                <w:rFonts w:ascii="Times New Roman" w:hAnsi="Times New Roman" w:eastAsia="宋体" w:cs="Times New Roman"/>
                <w:b/>
                <w:bCs/>
                <w:szCs w:val="21"/>
                <w:highlight w:val="none"/>
              </w:rPr>
            </w:pPr>
            <w:r>
              <w:rPr>
                <w:rFonts w:ascii="Times New Roman" w:hAnsi="Times New Roman" w:eastAsia="宋体" w:cs="Times New Roman"/>
                <w:b w:val="0"/>
                <w:bCs w:val="0"/>
                <w:color w:val="000000" w:themeColor="text1"/>
                <w:szCs w:val="21"/>
                <w:highlight w:val="none"/>
                <w14:textFill>
                  <w14:solidFill>
                    <w14:schemeClr w14:val="tx1"/>
                  </w14:solidFill>
                </w14:textFill>
              </w:rPr>
              <w:t>间接自然资源消耗</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（范围</w:t>
            </w: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三</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w:t>
            </w:r>
          </w:p>
        </w:tc>
        <w:tc>
          <w:tcPr>
            <w:tcW w:w="987" w:type="pct"/>
            <w:gridSpan w:val="2"/>
            <w:vAlign w:val="center"/>
          </w:tcPr>
          <w:p>
            <w:pPr>
              <w:spacing w:line="36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公交车年乘运量</w:t>
            </w:r>
          </w:p>
        </w:tc>
        <w:tc>
          <w:tcPr>
            <w:tcW w:w="596" w:type="pct"/>
            <w:vAlign w:val="center"/>
          </w:tcPr>
          <w:p>
            <w:pPr>
              <w:spacing w:line="360" w:lineRule="auto"/>
              <w:jc w:val="center"/>
              <w:rPr>
                <w:rFonts w:ascii="Times New Roman" w:hAnsi="Times New Roman" w:eastAsia="宋体" w:cs="Times New Roman"/>
                <w:szCs w:val="21"/>
                <w:highlight w:val="none"/>
                <w:lang w:eastAsia="zh-Hans"/>
              </w:rPr>
            </w:pPr>
            <w:r>
              <w:rPr>
                <w:rFonts w:hint="eastAsia" w:ascii="Times New Roman" w:hAnsi="Times New Roman" w:eastAsia="宋体" w:cs="Times New Roman"/>
                <w:szCs w:val="21"/>
                <w:highlight w:val="none"/>
              </w:rPr>
              <w:t>184</w:t>
            </w:r>
            <w:r>
              <w:rPr>
                <w:rFonts w:hint="eastAsia" w:ascii="Times New Roman" w:hAnsi="Times New Roman" w:eastAsia="宋体" w:cs="Times New Roman"/>
                <w:szCs w:val="21"/>
                <w:highlight w:val="none"/>
                <w:lang w:val="en-US" w:eastAsia="zh-CN"/>
              </w:rPr>
              <w:t>,</w:t>
            </w:r>
            <w:r>
              <w:rPr>
                <w:rFonts w:hint="eastAsia" w:ascii="Times New Roman" w:hAnsi="Times New Roman" w:eastAsia="宋体" w:cs="Times New Roman"/>
                <w:szCs w:val="21"/>
                <w:highlight w:val="none"/>
              </w:rPr>
              <w:t>005</w:t>
            </w:r>
          </w:p>
        </w:tc>
        <w:tc>
          <w:tcPr>
            <w:tcW w:w="915" w:type="pct"/>
            <w:vAlign w:val="center"/>
          </w:tcPr>
          <w:p>
            <w:pPr>
              <w:spacing w:line="360" w:lineRule="auto"/>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公里</w:t>
            </w:r>
          </w:p>
        </w:tc>
        <w:tc>
          <w:tcPr>
            <w:tcW w:w="749" w:type="pct"/>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6,133.5</w:t>
            </w:r>
          </w:p>
        </w:tc>
        <w:tc>
          <w:tcPr>
            <w:tcW w:w="915" w:type="pct"/>
            <w:vAlign w:val="center"/>
          </w:tcPr>
          <w:p>
            <w:pPr>
              <w:spacing w:line="360" w:lineRule="auto"/>
              <w:jc w:val="center"/>
              <w:rPr>
                <w:rFonts w:ascii="Times New Roman" w:hAnsi="Times New Roman" w:eastAsia="宋体" w:cs="Times New Roman"/>
                <w:szCs w:val="21"/>
                <w:highlight w:val="none"/>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公里</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68" w:hRule="atLeast"/>
        </w:trPr>
        <w:tc>
          <w:tcPr>
            <w:tcW w:w="834" w:type="pct"/>
            <w:vMerge w:val="continue"/>
            <w:shd w:val="clear" w:color="auto" w:fill="DEEAF6" w:themeFill="accent5" w:themeFillTint="33"/>
            <w:vAlign w:val="center"/>
          </w:tcPr>
          <w:p>
            <w:pPr>
              <w:widowControl/>
              <w:spacing w:line="360" w:lineRule="auto"/>
              <w:rPr>
                <w:rFonts w:ascii="Times New Roman" w:hAnsi="Times New Roman" w:eastAsia="宋体" w:cs="Times New Roman"/>
                <w:b w:val="0"/>
                <w:bCs w:val="0"/>
                <w:color w:val="000000" w:themeColor="text1"/>
                <w:szCs w:val="21"/>
                <w14:textFill>
                  <w14:solidFill>
                    <w14:schemeClr w14:val="tx1"/>
                  </w14:solidFill>
                </w14:textFill>
              </w:rPr>
            </w:pPr>
          </w:p>
        </w:tc>
        <w:tc>
          <w:tcPr>
            <w:tcW w:w="987" w:type="pct"/>
            <w:gridSpan w:val="2"/>
            <w:shd w:val="clear" w:color="auto" w:fill="DEEAF6" w:themeFill="accent5" w:themeFillTint="33"/>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小汽车或出租车年乘运量</w:t>
            </w:r>
          </w:p>
        </w:tc>
        <w:tc>
          <w:tcPr>
            <w:tcW w:w="596" w:type="pct"/>
            <w:shd w:val="clear" w:color="auto" w:fill="DEEAF6" w:themeFill="accent5" w:themeFillTint="33"/>
            <w:vAlign w:val="center"/>
          </w:tcPr>
          <w:p>
            <w:pPr>
              <w:spacing w:line="360" w:lineRule="auto"/>
              <w:jc w:val="center"/>
              <w:rPr>
                <w:rFonts w:ascii="Times New Roman" w:hAnsi="Times New Roman" w:eastAsia="宋体" w:cs="Times New Roman"/>
                <w:szCs w:val="21"/>
                <w:lang w:eastAsia="zh-Hans"/>
              </w:rPr>
            </w:pPr>
            <w:r>
              <w:rPr>
                <w:rFonts w:hint="eastAsia" w:ascii="Times New Roman" w:hAnsi="Times New Roman" w:eastAsia="宋体" w:cs="Times New Roman"/>
                <w:szCs w:val="21"/>
                <w:lang w:eastAsia="zh-Hans"/>
              </w:rPr>
              <w:t>12</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Hans"/>
              </w:rPr>
              <w:t>507</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Hans"/>
              </w:rPr>
              <w:t>539.7</w:t>
            </w:r>
          </w:p>
        </w:tc>
        <w:tc>
          <w:tcPr>
            <w:tcW w:w="915" w:type="pct"/>
            <w:shd w:val="clear" w:color="auto" w:fill="DEEAF6" w:themeFill="accent5" w:themeFillTint="33"/>
            <w:vAlign w:val="center"/>
          </w:tcPr>
          <w:p>
            <w:pPr>
              <w:spacing w:line="36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color w:val="000000" w:themeColor="text1"/>
                <w:szCs w:val="21"/>
                <w:lang w:val="en-US" w:eastAsia="zh-CN"/>
                <w14:textFill>
                  <w14:solidFill>
                    <w14:schemeClr w14:val="tx1"/>
                  </w14:solidFill>
                </w14:textFill>
              </w:rPr>
              <w:t>公里</w:t>
            </w:r>
          </w:p>
        </w:tc>
        <w:tc>
          <w:tcPr>
            <w:tcW w:w="749" w:type="pct"/>
            <w:shd w:val="clear" w:color="auto" w:fill="DEEAF6" w:themeFill="accent5" w:themeFillTint="33"/>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6,113.17</w:t>
            </w:r>
          </w:p>
        </w:tc>
        <w:tc>
          <w:tcPr>
            <w:tcW w:w="915" w:type="pct"/>
            <w:shd w:val="clear" w:color="auto" w:fill="DEEAF6" w:themeFill="accent5" w:themeFillTint="33"/>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lang w:val="en-US" w:eastAsia="zh-CN"/>
                <w14:textFill>
                  <w14:solidFill>
                    <w14:schemeClr w14:val="tx1"/>
                  </w14:solidFill>
                </w14:textFill>
              </w:rPr>
              <w:t>公里</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822" w:type="pct"/>
            <w:gridSpan w:val="3"/>
            <w:shd w:val="clear" w:color="auto" w:fill="DEEAF6" w:themeFill="accent5" w:themeFillTint="33"/>
            <w:vAlign w:val="center"/>
          </w:tcPr>
          <w:p>
            <w:pPr>
              <w:spacing w:line="360" w:lineRule="auto"/>
              <w:jc w:val="center"/>
              <w:rPr>
                <w:rFonts w:ascii="Times New Roman" w:hAnsi="Times New Roman" w:eastAsia="宋体" w:cs="Times New Roman"/>
                <w:b w:val="0"/>
                <w:bCs w:val="0"/>
                <w:szCs w:val="21"/>
              </w:rPr>
            </w:pPr>
            <w:r>
              <w:rPr>
                <w:rFonts w:hint="eastAsia" w:ascii="Times New Roman" w:hAnsi="Times New Roman" w:eastAsia="宋体" w:cs="Times New Roman"/>
                <w:b/>
                <w:bCs/>
                <w:szCs w:val="21"/>
              </w:rPr>
              <w:t>统计指标</w:t>
            </w:r>
          </w:p>
        </w:tc>
        <w:tc>
          <w:tcPr>
            <w:tcW w:w="1512" w:type="pct"/>
            <w:gridSpan w:val="2"/>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排放量</w:t>
            </w:r>
          </w:p>
        </w:tc>
        <w:tc>
          <w:tcPr>
            <w:tcW w:w="1665" w:type="pct"/>
            <w:gridSpan w:val="2"/>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人均排放量</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76" w:hRule="atLeast"/>
        </w:trPr>
        <w:tc>
          <w:tcPr>
            <w:tcW w:w="834" w:type="pct"/>
            <w:vAlign w:val="center"/>
          </w:tcPr>
          <w:p>
            <w:pPr>
              <w:widowControl/>
              <w:spacing w:line="360" w:lineRule="auto"/>
              <w:rPr>
                <w:rFonts w:ascii="Times New Roman" w:hAnsi="Times New Roman" w:eastAsia="宋体" w:cs="Times New Roman"/>
                <w:b w:val="0"/>
                <w:bCs w:val="0"/>
                <w:szCs w:val="21"/>
              </w:rPr>
            </w:pPr>
            <w:r>
              <w:rPr>
                <w:rFonts w:ascii="Times New Roman" w:hAnsi="Times New Roman" w:eastAsia="宋体" w:cs="Times New Roman"/>
                <w:b w:val="0"/>
                <w:bCs w:val="0"/>
                <w:szCs w:val="21"/>
              </w:rPr>
              <w:t>间接温室气体排放</w:t>
            </w:r>
          </w:p>
        </w:tc>
        <w:tc>
          <w:tcPr>
            <w:tcW w:w="987" w:type="pct"/>
            <w:gridSpan w:val="2"/>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间接温室</w:t>
            </w:r>
            <w:r>
              <w:rPr>
                <w:rFonts w:hint="eastAsia" w:ascii="Times New Roman" w:hAnsi="Times New Roman" w:eastAsia="宋体" w:cs="Times New Roman"/>
                <w:szCs w:val="21"/>
              </w:rPr>
              <w:t>气体</w:t>
            </w:r>
            <w:r>
              <w:rPr>
                <w:rFonts w:ascii="Times New Roman" w:hAnsi="Times New Roman" w:eastAsia="宋体" w:cs="Times New Roman"/>
                <w:szCs w:val="21"/>
              </w:rPr>
              <w:t>排放总量</w:t>
            </w:r>
          </w:p>
        </w:tc>
        <w:tc>
          <w:tcPr>
            <w:tcW w:w="596" w:type="pct"/>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377.07</w:t>
            </w:r>
          </w:p>
        </w:tc>
        <w:tc>
          <w:tcPr>
            <w:tcW w:w="915" w:type="pct"/>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吨二氧化碳当量</w:t>
            </w:r>
          </w:p>
        </w:tc>
        <w:tc>
          <w:tcPr>
            <w:tcW w:w="749" w:type="pct"/>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0.1639</w:t>
            </w:r>
          </w:p>
        </w:tc>
        <w:tc>
          <w:tcPr>
            <w:tcW w:w="915" w:type="pc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吨二氧化碳当量/人</w:t>
            </w:r>
          </w:p>
        </w:tc>
      </w:tr>
    </w:tbl>
    <w:p>
      <w:pPr>
        <w:pStyle w:val="5"/>
        <w:keepNext w:val="0"/>
        <w:keepLines w:val="0"/>
        <w:numPr>
          <w:ilvl w:val="0"/>
          <w:numId w:val="12"/>
        </w:numPr>
        <w:spacing w:line="360" w:lineRule="auto"/>
        <w:jc w:val="both"/>
        <w:rPr>
          <w:rFonts w:cstheme="minorBidi"/>
          <w:bCs w:val="0"/>
          <w:color w:val="2E75B6" w:themeColor="accent5" w:themeShade="BF"/>
          <w:highlight w:val="none"/>
        </w:rPr>
      </w:pPr>
      <w:bookmarkStart w:id="244" w:name="_Toc16251"/>
      <w:r>
        <w:rPr>
          <w:rFonts w:hint="eastAsia" w:cstheme="minorBidi"/>
          <w:bCs w:val="0"/>
          <w:color w:val="2E75B6" w:themeColor="accent5" w:themeShade="BF"/>
          <w:highlight w:val="none"/>
        </w:rPr>
        <w:t>温室气体排放总量</w:t>
      </w:r>
      <w:bookmarkEnd w:id="244"/>
    </w:p>
    <w:p>
      <w:pPr>
        <w:spacing w:line="360" w:lineRule="auto"/>
        <w:ind w:firstLine="480" w:firstLineChars="200"/>
        <w:rPr>
          <w:rFonts w:ascii="Times New Roman" w:hAnsi="Times New Roman" w:eastAsia="宋体" w:cs="宋体"/>
          <w:sz w:val="24"/>
          <w:szCs w:val="24"/>
          <w:highlight w:val="none"/>
          <w:shd w:val="clear" w:color="auto" w:fill="FFFFFF"/>
        </w:rPr>
      </w:pPr>
      <w:r>
        <w:rPr>
          <w:rFonts w:ascii="Times New Roman" w:hAnsi="Times New Roman" w:eastAsia="宋体" w:cs="宋体"/>
          <w:sz w:val="24"/>
          <w:szCs w:val="24"/>
          <w:highlight w:val="none"/>
          <w:shd w:val="clear" w:color="auto" w:fill="FFFFFF"/>
        </w:rPr>
        <w:t>2022</w:t>
      </w:r>
      <w:r>
        <w:rPr>
          <w:rFonts w:hint="eastAsia" w:ascii="Times New Roman" w:hAnsi="Times New Roman" w:eastAsia="宋体" w:cs="宋体"/>
          <w:sz w:val="24"/>
          <w:szCs w:val="24"/>
          <w:highlight w:val="none"/>
          <w:shd w:val="clear" w:color="auto" w:fill="FFFFFF"/>
        </w:rPr>
        <w:t>年，本行温室气体排放总量为49</w:t>
      </w:r>
      <w:r>
        <w:rPr>
          <w:rFonts w:hint="eastAsia" w:ascii="Times New Roman" w:hAnsi="Times New Roman" w:eastAsia="宋体" w:cs="宋体"/>
          <w:sz w:val="24"/>
          <w:szCs w:val="24"/>
          <w:highlight w:val="none"/>
          <w:shd w:val="clear" w:color="auto" w:fill="FFFFFF"/>
          <w:lang w:val="en-US" w:eastAsia="zh-CN"/>
        </w:rPr>
        <w:t>,</w:t>
      </w:r>
      <w:r>
        <w:rPr>
          <w:rFonts w:hint="eastAsia" w:ascii="Times New Roman" w:hAnsi="Times New Roman" w:eastAsia="宋体" w:cs="宋体"/>
          <w:sz w:val="24"/>
          <w:szCs w:val="24"/>
          <w:highlight w:val="none"/>
          <w:shd w:val="clear" w:color="auto" w:fill="FFFFFF"/>
        </w:rPr>
        <w:t>083.72吨二氧化碳当量，人均温室气体排放</w:t>
      </w:r>
      <w:r>
        <w:rPr>
          <w:rFonts w:hint="eastAsia" w:ascii="Times New Roman" w:hAnsi="Times New Roman" w:eastAsia="宋体" w:cs="宋体"/>
          <w:sz w:val="24"/>
          <w:szCs w:val="24"/>
          <w:highlight w:val="none"/>
          <w:shd w:val="clear" w:color="auto" w:fill="FFFFFF"/>
          <w:lang w:val="en-US" w:eastAsia="zh-CN"/>
        </w:rPr>
        <w:t>2</w:t>
      </w:r>
      <w:r>
        <w:rPr>
          <w:rFonts w:ascii="Times New Roman" w:hAnsi="Times New Roman" w:eastAsia="宋体" w:cs="宋体"/>
          <w:sz w:val="24"/>
          <w:szCs w:val="24"/>
          <w:highlight w:val="none"/>
          <w:shd w:val="clear" w:color="auto" w:fill="FFFFFF"/>
        </w:rPr>
        <w:t>1.3</w:t>
      </w:r>
      <w:r>
        <w:rPr>
          <w:rFonts w:hint="eastAsia" w:ascii="Times New Roman" w:hAnsi="Times New Roman" w:eastAsia="宋体" w:cs="宋体"/>
          <w:sz w:val="24"/>
          <w:szCs w:val="24"/>
          <w:highlight w:val="none"/>
          <w:shd w:val="clear" w:color="auto" w:fill="FFFFFF"/>
          <w:lang w:val="en-US" w:eastAsia="zh-CN"/>
        </w:rPr>
        <w:t>4</w:t>
      </w:r>
      <w:r>
        <w:rPr>
          <w:rFonts w:hint="eastAsia" w:ascii="Times New Roman" w:hAnsi="Times New Roman" w:eastAsia="宋体" w:cs="宋体"/>
          <w:sz w:val="24"/>
          <w:szCs w:val="24"/>
          <w:highlight w:val="none"/>
          <w:shd w:val="clear" w:color="auto" w:fill="FFFFFF"/>
        </w:rPr>
        <w:t>吨二氧化碳当量。</w:t>
      </w:r>
    </w:p>
    <w:p>
      <w:pPr>
        <w:pStyle w:val="2"/>
        <w:spacing w:line="360" w:lineRule="auto"/>
        <w:ind w:left="0" w:leftChars="0" w:firstLine="0" w:firstLineChars="0"/>
        <w:jc w:val="center"/>
        <w:rPr>
          <w:rFonts w:hint="default" w:ascii="Times New Roman" w:hAnsi="Times New Roman" w:eastAsia="黑体" w:cs="宋体"/>
          <w:highlight w:val="none"/>
        </w:rPr>
      </w:pPr>
      <w:r>
        <w:rPr>
          <w:rFonts w:ascii="Times New Roman" w:hAnsi="Times New Roman" w:eastAsia="黑体" w:cs="宋体"/>
          <w:highlight w:val="none"/>
        </w:rPr>
        <w:t>表</w:t>
      </w:r>
      <w:r>
        <w:rPr>
          <w:rFonts w:hint="default" w:ascii="Times New Roman" w:hAnsi="Times New Roman" w:eastAsia="黑体" w:cs="宋体"/>
          <w:highlight w:val="none"/>
        </w:rPr>
        <w:t>8-</w:t>
      </w:r>
      <w:r>
        <w:rPr>
          <w:rFonts w:hint="eastAsia" w:ascii="Times New Roman" w:hAnsi="Times New Roman" w:eastAsia="黑体" w:cs="宋体"/>
          <w:highlight w:val="none"/>
          <w:lang w:val="en-US" w:eastAsia="zh-CN"/>
        </w:rPr>
        <w:t>4</w:t>
      </w:r>
      <w:r>
        <w:rPr>
          <w:rFonts w:ascii="Times New Roman" w:hAnsi="Times New Roman" w:eastAsia="黑体" w:cs="宋体"/>
          <w:highlight w:val="none"/>
        </w:rPr>
        <w:t>：江门农商银行温室气体排放总量（截至</w:t>
      </w:r>
      <w:r>
        <w:rPr>
          <w:rFonts w:hint="default" w:ascii="Times New Roman" w:hAnsi="Times New Roman" w:eastAsia="黑体" w:cs="宋体"/>
          <w:highlight w:val="none"/>
        </w:rPr>
        <w:t>2022</w:t>
      </w:r>
      <w:r>
        <w:rPr>
          <w:rFonts w:ascii="Times New Roman" w:hAnsi="Times New Roman" w:eastAsia="黑体" w:cs="宋体"/>
          <w:highlight w:val="none"/>
        </w:rPr>
        <w:t>年末）</w:t>
      </w:r>
    </w:p>
    <w:tbl>
      <w:tblPr>
        <w:tblStyle w:val="70"/>
        <w:tblW w:w="8468" w:type="dxa"/>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1693"/>
        <w:gridCol w:w="1693"/>
        <w:gridCol w:w="1694"/>
        <w:gridCol w:w="1694"/>
        <w:gridCol w:w="1694"/>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693" w:type="dxa"/>
            <w:vMerge w:val="restart"/>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统计指标</w:t>
            </w:r>
          </w:p>
        </w:tc>
        <w:tc>
          <w:tcPr>
            <w:tcW w:w="3387" w:type="dxa"/>
            <w:gridSpan w:val="2"/>
            <w:tcBorders>
              <w:top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jc w:val="center"/>
              <w:rPr>
                <w:rFonts w:ascii="Times New Roman" w:hAnsi="Times New Roman" w:eastAsia="宋体" w:cs="Times New Roman"/>
                <w:b w:val="0"/>
                <w:bCs w:val="0"/>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排放量</w:t>
            </w:r>
          </w:p>
        </w:tc>
        <w:tc>
          <w:tcPr>
            <w:tcW w:w="3388" w:type="dxa"/>
            <w:gridSpan w:val="2"/>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jc w:val="center"/>
              <w:rPr>
                <w:rFonts w:ascii="Times New Roman" w:hAnsi="Times New Roman" w:eastAsia="宋体" w:cs="Times New Roman"/>
                <w:b w:val="0"/>
                <w:bCs w:val="0"/>
                <w:color w:val="FFFFFF" w:themeColor="background1"/>
                <w:szCs w:val="21"/>
                <w14:textFill>
                  <w14:solidFill>
                    <w14:schemeClr w14:val="bg1"/>
                  </w14:solidFill>
                </w14:textFill>
              </w:rPr>
            </w:pPr>
            <w:r>
              <w:rPr>
                <w:rFonts w:ascii="Times New Roman" w:hAnsi="Times New Roman" w:eastAsia="宋体" w:cs="Times New Roman"/>
                <w:b/>
                <w:bCs/>
                <w:color w:val="FFFFFF" w:themeColor="background1"/>
                <w:szCs w:val="21"/>
                <w14:textFill>
                  <w14:solidFill>
                    <w14:schemeClr w14:val="bg1"/>
                  </w14:solidFill>
                </w14:textFill>
              </w:rPr>
              <w:t>人均排放量</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0" w:hRule="atLeast"/>
        </w:trPr>
        <w:tc>
          <w:tcPr>
            <w:tcW w:w="1693" w:type="dxa"/>
            <w:vMerge w:val="continue"/>
            <w:shd w:val="clear" w:color="auto" w:fill="DEEAF6" w:themeFill="accent5" w:themeFillTint="33"/>
            <w:vAlign w:val="center"/>
          </w:tcPr>
          <w:p>
            <w:pPr>
              <w:spacing w:line="360" w:lineRule="auto"/>
              <w:jc w:val="center"/>
              <w:rPr>
                <w:rFonts w:ascii="Times New Roman" w:hAnsi="Times New Roman" w:eastAsia="宋体" w:cs="Times New Roman"/>
                <w:b/>
                <w:bCs/>
                <w:color w:val="FFFFFF" w:themeColor="background1"/>
                <w:szCs w:val="21"/>
                <w14:textFill>
                  <w14:solidFill>
                    <w14:schemeClr w14:val="bg1"/>
                  </w14:solidFill>
                </w14:textFill>
              </w:rPr>
            </w:pPr>
          </w:p>
        </w:tc>
        <w:tc>
          <w:tcPr>
            <w:tcW w:w="1693" w:type="dxa"/>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1694" w:type="dxa"/>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c>
          <w:tcPr>
            <w:tcW w:w="1694" w:type="dxa"/>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1694" w:type="dxa"/>
            <w:shd w:val="clear" w:color="auto" w:fill="DEEAF6" w:themeFill="accent5" w:themeFillTint="33"/>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76" w:hRule="atLeast"/>
        </w:trPr>
        <w:tc>
          <w:tcPr>
            <w:tcW w:w="1693" w:type="dxa"/>
            <w:vAlign w:val="center"/>
          </w:tcPr>
          <w:p>
            <w:pPr>
              <w:spacing w:line="360" w:lineRule="auto"/>
              <w:rPr>
                <w:rFonts w:ascii="Times New Roman" w:hAnsi="Times New Roman" w:eastAsia="宋体" w:cs="宋体"/>
                <w:b/>
                <w:bCs/>
                <w:szCs w:val="21"/>
                <w:highlight w:val="none"/>
              </w:rPr>
            </w:pPr>
            <w:r>
              <w:rPr>
                <w:rFonts w:hint="eastAsia" w:ascii="Times New Roman" w:hAnsi="Times New Roman" w:eastAsia="宋体" w:cs="宋体"/>
                <w:b/>
                <w:bCs/>
                <w:szCs w:val="21"/>
                <w:highlight w:val="none"/>
              </w:rPr>
              <w:t>直接温室气体的排放（范围一）</w:t>
            </w:r>
          </w:p>
        </w:tc>
        <w:tc>
          <w:tcPr>
            <w:tcW w:w="1693" w:type="dxa"/>
            <w:vAlign w:val="center"/>
          </w:tcPr>
          <w:p>
            <w:pPr>
              <w:spacing w:line="360" w:lineRule="auto"/>
              <w:jc w:val="center"/>
              <w:rPr>
                <w:rFonts w:ascii="Times New Roman" w:hAnsi="Times New Roman" w:eastAsia="宋体" w:cs="宋体"/>
                <w:szCs w:val="21"/>
                <w:highlight w:val="none"/>
                <w:lang w:eastAsia="zh-Hans"/>
              </w:rPr>
            </w:pPr>
            <w:r>
              <w:rPr>
                <w:rFonts w:hint="eastAsia" w:ascii="Times New Roman" w:hAnsi="Times New Roman" w:eastAsia="宋体" w:cs="宋体"/>
                <w:szCs w:val="21"/>
                <w:highlight w:val="none"/>
                <w:lang w:eastAsia="zh-Hans"/>
              </w:rPr>
              <w:t>45</w:t>
            </w:r>
            <w:r>
              <w:rPr>
                <w:rFonts w:hint="eastAsia" w:ascii="Times New Roman" w:hAnsi="Times New Roman" w:eastAsia="宋体" w:cs="宋体"/>
                <w:szCs w:val="21"/>
                <w:highlight w:val="none"/>
                <w:lang w:val="en-US" w:eastAsia="zh-CN"/>
              </w:rPr>
              <w:t>,</w:t>
            </w:r>
            <w:r>
              <w:rPr>
                <w:rFonts w:hint="eastAsia" w:ascii="Times New Roman" w:hAnsi="Times New Roman" w:eastAsia="宋体" w:cs="宋体"/>
                <w:szCs w:val="21"/>
                <w:highlight w:val="none"/>
                <w:lang w:eastAsia="zh-Hans"/>
              </w:rPr>
              <w:t>649.32</w:t>
            </w:r>
          </w:p>
        </w:tc>
        <w:tc>
          <w:tcPr>
            <w:tcW w:w="1694" w:type="dxa"/>
            <w:vAlign w:val="center"/>
          </w:tcPr>
          <w:p>
            <w:pPr>
              <w:spacing w:line="360" w:lineRule="auto"/>
              <w:jc w:val="center"/>
              <w:rPr>
                <w:rFonts w:ascii="Times New Roman" w:hAnsi="Times New Roman" w:eastAsia="宋体" w:cs="宋体"/>
                <w:szCs w:val="21"/>
                <w:highlight w:val="none"/>
              </w:rPr>
            </w:pPr>
            <w:r>
              <w:rPr>
                <w:rFonts w:hint="eastAsia" w:ascii="Times New Roman" w:hAnsi="Times New Roman" w:eastAsia="宋体" w:cs="宋体"/>
                <w:szCs w:val="21"/>
                <w:highlight w:val="none"/>
              </w:rPr>
              <w:t>吨二氧化碳当量</w:t>
            </w:r>
          </w:p>
        </w:tc>
        <w:tc>
          <w:tcPr>
            <w:tcW w:w="1694" w:type="dxa"/>
            <w:vAlign w:val="center"/>
          </w:tcPr>
          <w:p>
            <w:pPr>
              <w:spacing w:line="360" w:lineRule="auto"/>
              <w:jc w:val="center"/>
              <w:rPr>
                <w:rFonts w:ascii="Times New Roman" w:hAnsi="Times New Roman" w:eastAsia="宋体" w:cs="宋体"/>
                <w:szCs w:val="21"/>
                <w:highlight w:val="none"/>
                <w:lang w:eastAsia="zh-Hans"/>
              </w:rPr>
            </w:pPr>
            <w:r>
              <w:rPr>
                <w:rFonts w:hint="eastAsia" w:ascii="Times New Roman" w:hAnsi="Times New Roman" w:eastAsia="宋体" w:cs="宋体"/>
                <w:szCs w:val="21"/>
                <w:highlight w:val="none"/>
                <w:lang w:eastAsia="zh-Hans"/>
              </w:rPr>
              <w:t>19.85</w:t>
            </w:r>
          </w:p>
        </w:tc>
        <w:tc>
          <w:tcPr>
            <w:tcW w:w="1694" w:type="dxa"/>
            <w:vAlign w:val="center"/>
          </w:tcPr>
          <w:p>
            <w:pPr>
              <w:spacing w:line="360" w:lineRule="auto"/>
              <w:jc w:val="center"/>
              <w:rPr>
                <w:rFonts w:ascii="Times New Roman" w:hAnsi="Times New Roman" w:eastAsia="宋体" w:cs="宋体"/>
                <w:szCs w:val="21"/>
                <w:highlight w:val="none"/>
              </w:rPr>
            </w:pPr>
            <w:r>
              <w:rPr>
                <w:rFonts w:hint="eastAsia" w:ascii="Times New Roman" w:hAnsi="Times New Roman" w:eastAsia="宋体" w:cs="宋体"/>
                <w:szCs w:val="21"/>
                <w:highlight w:val="none"/>
              </w:rPr>
              <w:t>吨二氧化碳当量</w:t>
            </w:r>
            <w:r>
              <w:rPr>
                <w:rFonts w:ascii="Times New Roman" w:hAnsi="Times New Roman" w:eastAsia="宋体" w:cs="宋体"/>
                <w:szCs w:val="21"/>
                <w:highlight w:val="none"/>
              </w:rPr>
              <w:t>/</w:t>
            </w:r>
            <w:r>
              <w:rPr>
                <w:rFonts w:hint="eastAsia" w:ascii="Times New Roman" w:hAnsi="Times New Roman" w:eastAsia="宋体" w:cs="宋体"/>
                <w:szCs w:val="21"/>
                <w:highlight w:val="none"/>
              </w:rPr>
              <w:t>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76" w:hRule="atLeast"/>
        </w:trPr>
        <w:tc>
          <w:tcPr>
            <w:tcW w:w="1693" w:type="dxa"/>
            <w:shd w:val="clear" w:color="auto" w:fill="DEEAF6" w:themeFill="accent5" w:themeFillTint="33"/>
            <w:vAlign w:val="center"/>
          </w:tcPr>
          <w:p>
            <w:pPr>
              <w:spacing w:line="360" w:lineRule="auto"/>
              <w:rPr>
                <w:rFonts w:ascii="Times New Roman" w:hAnsi="Times New Roman" w:eastAsia="宋体" w:cs="宋体"/>
                <w:b/>
                <w:bCs/>
                <w:szCs w:val="21"/>
                <w:highlight w:val="none"/>
              </w:rPr>
            </w:pPr>
            <w:r>
              <w:rPr>
                <w:rFonts w:hint="eastAsia" w:ascii="Times New Roman" w:hAnsi="Times New Roman" w:eastAsia="宋体" w:cs="宋体"/>
                <w:b/>
                <w:bCs/>
                <w:szCs w:val="21"/>
                <w:highlight w:val="none"/>
              </w:rPr>
              <w:t>间接温室气体的排放（范围二）</w:t>
            </w:r>
          </w:p>
        </w:tc>
        <w:tc>
          <w:tcPr>
            <w:tcW w:w="1693" w:type="dxa"/>
            <w:shd w:val="clear" w:color="auto" w:fill="DEEAF6" w:themeFill="accent5" w:themeFillTint="33"/>
            <w:vAlign w:val="center"/>
          </w:tcPr>
          <w:p>
            <w:pPr>
              <w:spacing w:line="360" w:lineRule="auto"/>
              <w:jc w:val="center"/>
              <w:rPr>
                <w:rFonts w:ascii="Times New Roman" w:hAnsi="Times New Roman" w:eastAsia="宋体" w:cs="宋体"/>
                <w:szCs w:val="21"/>
                <w:highlight w:val="none"/>
                <w:lang w:eastAsia="zh-Hans"/>
              </w:rPr>
            </w:pPr>
            <w:r>
              <w:rPr>
                <w:rFonts w:hint="eastAsia" w:ascii="Times New Roman" w:hAnsi="Times New Roman" w:eastAsia="宋体" w:cs="宋体"/>
                <w:szCs w:val="21"/>
                <w:highlight w:val="none"/>
                <w:lang w:eastAsia="zh-Hans"/>
              </w:rPr>
              <w:t>3</w:t>
            </w:r>
            <w:r>
              <w:rPr>
                <w:rFonts w:hint="eastAsia" w:ascii="Times New Roman" w:hAnsi="Times New Roman" w:eastAsia="宋体" w:cs="宋体"/>
                <w:szCs w:val="21"/>
                <w:highlight w:val="none"/>
                <w:lang w:val="en-US" w:eastAsia="zh-CN"/>
              </w:rPr>
              <w:t>,</w:t>
            </w:r>
            <w:r>
              <w:rPr>
                <w:rFonts w:hint="eastAsia" w:ascii="Times New Roman" w:hAnsi="Times New Roman" w:eastAsia="宋体" w:cs="宋体"/>
                <w:szCs w:val="21"/>
                <w:highlight w:val="none"/>
                <w:lang w:eastAsia="zh-Hans"/>
              </w:rPr>
              <w:t>049.62</w:t>
            </w:r>
          </w:p>
        </w:tc>
        <w:tc>
          <w:tcPr>
            <w:tcW w:w="1694" w:type="dxa"/>
            <w:shd w:val="clear" w:color="auto" w:fill="DEEAF6" w:themeFill="accent5" w:themeFillTint="33"/>
            <w:vAlign w:val="center"/>
          </w:tcPr>
          <w:p>
            <w:pPr>
              <w:spacing w:line="360" w:lineRule="auto"/>
              <w:jc w:val="center"/>
              <w:rPr>
                <w:rFonts w:ascii="Times New Roman" w:hAnsi="Times New Roman" w:eastAsia="宋体" w:cs="宋体"/>
                <w:szCs w:val="21"/>
                <w:highlight w:val="none"/>
              </w:rPr>
            </w:pPr>
            <w:r>
              <w:rPr>
                <w:rFonts w:hint="eastAsia" w:ascii="Times New Roman" w:hAnsi="Times New Roman" w:eastAsia="宋体" w:cs="宋体"/>
                <w:szCs w:val="21"/>
                <w:highlight w:val="none"/>
              </w:rPr>
              <w:t>吨二氧化碳当量</w:t>
            </w:r>
          </w:p>
        </w:tc>
        <w:tc>
          <w:tcPr>
            <w:tcW w:w="1694" w:type="dxa"/>
            <w:shd w:val="clear" w:color="auto" w:fill="DEEAF6" w:themeFill="accent5" w:themeFillTint="33"/>
            <w:vAlign w:val="center"/>
          </w:tcPr>
          <w:p>
            <w:pPr>
              <w:spacing w:line="360" w:lineRule="auto"/>
              <w:jc w:val="center"/>
              <w:rPr>
                <w:rFonts w:ascii="Times New Roman" w:hAnsi="Times New Roman" w:eastAsia="宋体" w:cs="宋体"/>
                <w:szCs w:val="21"/>
                <w:highlight w:val="none"/>
                <w:lang w:eastAsia="zh-Hans"/>
              </w:rPr>
            </w:pPr>
            <w:r>
              <w:rPr>
                <w:rFonts w:hint="eastAsia" w:ascii="Times New Roman" w:hAnsi="Times New Roman" w:eastAsia="宋体" w:cs="宋体"/>
                <w:szCs w:val="21"/>
                <w:highlight w:val="none"/>
                <w:lang w:eastAsia="zh-Hans"/>
              </w:rPr>
              <w:t>1.326</w:t>
            </w:r>
          </w:p>
        </w:tc>
        <w:tc>
          <w:tcPr>
            <w:tcW w:w="1694" w:type="dxa"/>
            <w:shd w:val="clear" w:color="auto" w:fill="DEEAF6" w:themeFill="accent5" w:themeFillTint="33"/>
            <w:vAlign w:val="center"/>
          </w:tcPr>
          <w:p>
            <w:pPr>
              <w:spacing w:line="360" w:lineRule="auto"/>
              <w:jc w:val="center"/>
              <w:rPr>
                <w:rFonts w:ascii="Times New Roman" w:hAnsi="Times New Roman" w:eastAsia="宋体" w:cs="宋体"/>
                <w:szCs w:val="21"/>
                <w:highlight w:val="none"/>
              </w:rPr>
            </w:pPr>
            <w:r>
              <w:rPr>
                <w:rFonts w:hint="eastAsia" w:ascii="Times New Roman" w:hAnsi="Times New Roman" w:eastAsia="宋体" w:cs="宋体"/>
                <w:szCs w:val="21"/>
                <w:highlight w:val="none"/>
              </w:rPr>
              <w:t>吨二氧化碳当量</w:t>
            </w:r>
            <w:r>
              <w:rPr>
                <w:rFonts w:ascii="Times New Roman" w:hAnsi="Times New Roman" w:eastAsia="宋体" w:cs="宋体"/>
                <w:szCs w:val="21"/>
                <w:highlight w:val="none"/>
              </w:rPr>
              <w:t>/</w:t>
            </w:r>
            <w:r>
              <w:rPr>
                <w:rFonts w:hint="eastAsia" w:ascii="Times New Roman" w:hAnsi="Times New Roman" w:eastAsia="宋体" w:cs="宋体"/>
                <w:szCs w:val="21"/>
                <w:highlight w:val="none"/>
              </w:rPr>
              <w:t>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76" w:hRule="atLeast"/>
        </w:trPr>
        <w:tc>
          <w:tcPr>
            <w:tcW w:w="1693" w:type="dxa"/>
            <w:vAlign w:val="center"/>
          </w:tcPr>
          <w:p>
            <w:pPr>
              <w:spacing w:line="360" w:lineRule="auto"/>
              <w:rPr>
                <w:rFonts w:hint="eastAsia" w:ascii="Times New Roman" w:hAnsi="Times New Roman" w:eastAsia="宋体" w:cs="宋体"/>
                <w:b/>
                <w:bCs/>
                <w:kern w:val="2"/>
                <w:sz w:val="21"/>
                <w:szCs w:val="21"/>
                <w:highlight w:val="none"/>
                <w:lang w:val="en-US" w:eastAsia="zh-CN" w:bidi="ar-SA"/>
              </w:rPr>
            </w:pPr>
            <w:r>
              <w:rPr>
                <w:rFonts w:hint="eastAsia" w:ascii="Times New Roman" w:hAnsi="Times New Roman" w:eastAsia="宋体" w:cs="宋体"/>
                <w:b/>
                <w:bCs/>
                <w:szCs w:val="21"/>
                <w:highlight w:val="none"/>
              </w:rPr>
              <w:t>间接温室气体的排放（范围</w:t>
            </w:r>
            <w:r>
              <w:rPr>
                <w:rFonts w:hint="eastAsia" w:ascii="Times New Roman" w:hAnsi="Times New Roman" w:eastAsia="宋体" w:cs="宋体"/>
                <w:b/>
                <w:bCs/>
                <w:szCs w:val="21"/>
                <w:highlight w:val="none"/>
                <w:lang w:val="en-US" w:eastAsia="zh-CN"/>
              </w:rPr>
              <w:t>三</w:t>
            </w:r>
            <w:r>
              <w:rPr>
                <w:rFonts w:hint="eastAsia" w:ascii="Times New Roman" w:hAnsi="Times New Roman" w:eastAsia="宋体" w:cs="宋体"/>
                <w:b/>
                <w:bCs/>
                <w:szCs w:val="21"/>
                <w:highlight w:val="none"/>
              </w:rPr>
              <w:t>）</w:t>
            </w:r>
          </w:p>
        </w:tc>
        <w:tc>
          <w:tcPr>
            <w:tcW w:w="1693" w:type="dxa"/>
            <w:vAlign w:val="center"/>
          </w:tcPr>
          <w:p>
            <w:pPr>
              <w:spacing w:line="360" w:lineRule="auto"/>
              <w:jc w:val="center"/>
              <w:rPr>
                <w:rFonts w:hint="default" w:ascii="Times New Roman" w:hAnsi="Times New Roman" w:eastAsia="宋体" w:cs="宋体"/>
                <w:kern w:val="2"/>
                <w:sz w:val="21"/>
                <w:szCs w:val="21"/>
                <w:highlight w:val="none"/>
                <w:lang w:val="en-US" w:eastAsia="zh-Hans" w:bidi="ar-SA"/>
              </w:rPr>
            </w:pPr>
            <w:r>
              <w:rPr>
                <w:rFonts w:hint="eastAsia" w:ascii="Times New Roman" w:hAnsi="Times New Roman" w:eastAsia="宋体" w:cs="Times New Roman"/>
                <w:szCs w:val="21"/>
                <w:highlight w:val="none"/>
                <w:lang w:val="en-US" w:eastAsia="zh-CN"/>
              </w:rPr>
              <w:t>384.78</w:t>
            </w:r>
          </w:p>
        </w:tc>
        <w:tc>
          <w:tcPr>
            <w:tcW w:w="1694" w:type="dxa"/>
            <w:vAlign w:val="center"/>
          </w:tcPr>
          <w:p>
            <w:pPr>
              <w:spacing w:line="360" w:lineRule="auto"/>
              <w:jc w:val="center"/>
              <w:rPr>
                <w:rFonts w:hint="eastAsia" w:ascii="Times New Roman" w:hAnsi="Times New Roman" w:eastAsia="宋体" w:cs="宋体"/>
                <w:kern w:val="2"/>
                <w:sz w:val="21"/>
                <w:szCs w:val="21"/>
                <w:highlight w:val="none"/>
                <w:lang w:val="en-US" w:eastAsia="zh-CN" w:bidi="ar-SA"/>
              </w:rPr>
            </w:pPr>
            <w:r>
              <w:rPr>
                <w:rFonts w:hint="eastAsia" w:ascii="Times New Roman" w:hAnsi="Times New Roman" w:eastAsia="宋体" w:cs="宋体"/>
                <w:szCs w:val="21"/>
                <w:highlight w:val="none"/>
              </w:rPr>
              <w:t>吨二氧化碳当量</w:t>
            </w:r>
          </w:p>
        </w:tc>
        <w:tc>
          <w:tcPr>
            <w:tcW w:w="1694" w:type="dxa"/>
            <w:vAlign w:val="center"/>
          </w:tcPr>
          <w:p>
            <w:pPr>
              <w:spacing w:line="360" w:lineRule="auto"/>
              <w:jc w:val="center"/>
              <w:rPr>
                <w:rFonts w:ascii="Times New Roman" w:hAnsi="Times New Roman" w:eastAsia="宋体" w:cs="宋体"/>
                <w:kern w:val="2"/>
                <w:sz w:val="21"/>
                <w:szCs w:val="21"/>
                <w:highlight w:val="none"/>
                <w:lang w:val="en-US" w:eastAsia="zh-Hans" w:bidi="ar-SA"/>
              </w:rPr>
            </w:pPr>
            <w:r>
              <w:rPr>
                <w:rFonts w:hint="eastAsia" w:ascii="Times New Roman" w:hAnsi="Times New Roman" w:eastAsia="宋体" w:cs="Times New Roman"/>
                <w:szCs w:val="21"/>
                <w:highlight w:val="none"/>
                <w:lang w:val="en-US" w:eastAsia="zh-CN"/>
              </w:rPr>
              <w:t>0.1639</w:t>
            </w:r>
          </w:p>
        </w:tc>
        <w:tc>
          <w:tcPr>
            <w:tcW w:w="1694" w:type="dxa"/>
            <w:vAlign w:val="center"/>
          </w:tcPr>
          <w:p>
            <w:pPr>
              <w:spacing w:line="360" w:lineRule="auto"/>
              <w:jc w:val="center"/>
              <w:rPr>
                <w:rFonts w:hint="eastAsia" w:ascii="Times New Roman" w:hAnsi="Times New Roman" w:eastAsia="宋体" w:cs="宋体"/>
                <w:kern w:val="2"/>
                <w:sz w:val="21"/>
                <w:szCs w:val="21"/>
                <w:highlight w:val="none"/>
                <w:lang w:val="en-US" w:eastAsia="zh-CN" w:bidi="ar-SA"/>
              </w:rPr>
            </w:pPr>
            <w:r>
              <w:rPr>
                <w:rFonts w:hint="eastAsia" w:ascii="Times New Roman" w:hAnsi="Times New Roman" w:eastAsia="宋体" w:cs="宋体"/>
                <w:szCs w:val="21"/>
                <w:highlight w:val="none"/>
              </w:rPr>
              <w:t>吨二氧化碳当量</w:t>
            </w:r>
            <w:r>
              <w:rPr>
                <w:rFonts w:ascii="Times New Roman" w:hAnsi="Times New Roman" w:eastAsia="宋体" w:cs="宋体"/>
                <w:szCs w:val="21"/>
                <w:highlight w:val="none"/>
              </w:rPr>
              <w:t>/</w:t>
            </w:r>
            <w:r>
              <w:rPr>
                <w:rFonts w:hint="eastAsia" w:ascii="Times New Roman" w:hAnsi="Times New Roman" w:eastAsia="宋体" w:cs="宋体"/>
                <w:szCs w:val="21"/>
                <w:highlight w:val="none"/>
              </w:rPr>
              <w:t>人</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76" w:hRule="atLeast"/>
        </w:trPr>
        <w:tc>
          <w:tcPr>
            <w:tcW w:w="1693" w:type="dxa"/>
            <w:vAlign w:val="center"/>
          </w:tcPr>
          <w:p>
            <w:pPr>
              <w:spacing w:line="360" w:lineRule="auto"/>
              <w:rPr>
                <w:rFonts w:ascii="Times New Roman" w:hAnsi="Times New Roman" w:eastAsia="宋体" w:cs="宋体"/>
                <w:b w:val="0"/>
                <w:bCs w:val="0"/>
                <w:szCs w:val="21"/>
                <w:highlight w:val="none"/>
              </w:rPr>
            </w:pPr>
            <w:r>
              <w:rPr>
                <w:rFonts w:hint="eastAsia" w:ascii="Times New Roman" w:hAnsi="Times New Roman" w:eastAsia="宋体" w:cs="宋体"/>
                <w:b/>
                <w:bCs/>
                <w:szCs w:val="21"/>
                <w:highlight w:val="none"/>
              </w:rPr>
              <w:t>温室气体的排放总量（范围一</w:t>
            </w:r>
            <w:r>
              <w:rPr>
                <w:rFonts w:ascii="Times New Roman" w:hAnsi="Times New Roman" w:eastAsia="宋体" w:cs="宋体"/>
                <w:b/>
                <w:bCs/>
                <w:szCs w:val="21"/>
                <w:highlight w:val="none"/>
              </w:rPr>
              <w:t>+</w:t>
            </w:r>
            <w:r>
              <w:rPr>
                <w:rFonts w:hint="eastAsia" w:ascii="Times New Roman" w:hAnsi="Times New Roman" w:eastAsia="宋体" w:cs="宋体"/>
                <w:b/>
                <w:bCs/>
                <w:szCs w:val="21"/>
                <w:highlight w:val="none"/>
              </w:rPr>
              <w:t>范围二</w:t>
            </w:r>
            <w:r>
              <w:rPr>
                <w:rFonts w:ascii="Times New Roman" w:hAnsi="Times New Roman" w:eastAsia="宋体" w:cs="宋体"/>
                <w:b/>
                <w:bCs/>
                <w:szCs w:val="21"/>
                <w:highlight w:val="none"/>
              </w:rPr>
              <w:t>+</w:t>
            </w:r>
            <w:r>
              <w:rPr>
                <w:rFonts w:hint="eastAsia" w:ascii="Times New Roman" w:hAnsi="Times New Roman" w:eastAsia="宋体" w:cs="宋体"/>
                <w:b/>
                <w:bCs/>
                <w:szCs w:val="21"/>
                <w:highlight w:val="none"/>
              </w:rPr>
              <w:t>范围</w:t>
            </w:r>
            <w:r>
              <w:rPr>
                <w:rFonts w:hint="eastAsia" w:ascii="Times New Roman" w:hAnsi="Times New Roman" w:eastAsia="宋体" w:cs="宋体"/>
                <w:b/>
                <w:bCs/>
                <w:szCs w:val="21"/>
                <w:highlight w:val="none"/>
                <w:lang w:val="en-US" w:eastAsia="zh-CN"/>
              </w:rPr>
              <w:t>三</w:t>
            </w:r>
            <w:r>
              <w:rPr>
                <w:rFonts w:hint="eastAsia" w:ascii="Times New Roman" w:hAnsi="Times New Roman" w:eastAsia="宋体" w:cs="宋体"/>
                <w:b/>
                <w:bCs/>
                <w:szCs w:val="21"/>
                <w:highlight w:val="none"/>
              </w:rPr>
              <w:t>）</w:t>
            </w:r>
          </w:p>
        </w:tc>
        <w:tc>
          <w:tcPr>
            <w:tcW w:w="1693" w:type="dxa"/>
            <w:vAlign w:val="center"/>
          </w:tcPr>
          <w:p>
            <w:pPr>
              <w:spacing w:line="360" w:lineRule="auto"/>
              <w:jc w:val="center"/>
              <w:rPr>
                <w:rFonts w:ascii="Times New Roman" w:hAnsi="Times New Roman" w:eastAsia="宋体" w:cs="宋体"/>
                <w:szCs w:val="21"/>
                <w:highlight w:val="none"/>
                <w:lang w:eastAsia="zh-Hans"/>
              </w:rPr>
            </w:pPr>
            <w:r>
              <w:rPr>
                <w:rFonts w:hint="eastAsia" w:ascii="Times New Roman" w:hAnsi="Times New Roman" w:eastAsia="宋体" w:cs="宋体"/>
                <w:szCs w:val="21"/>
                <w:highlight w:val="none"/>
                <w:lang w:eastAsia="zh-Hans"/>
              </w:rPr>
              <w:t>49</w:t>
            </w:r>
            <w:r>
              <w:rPr>
                <w:rFonts w:hint="eastAsia" w:ascii="Times New Roman" w:hAnsi="Times New Roman" w:eastAsia="宋体" w:cs="宋体"/>
                <w:szCs w:val="21"/>
                <w:highlight w:val="none"/>
                <w:lang w:val="en-US" w:eastAsia="zh-CN"/>
              </w:rPr>
              <w:t>,</w:t>
            </w:r>
            <w:r>
              <w:rPr>
                <w:rFonts w:hint="eastAsia" w:ascii="Times New Roman" w:hAnsi="Times New Roman" w:eastAsia="宋体" w:cs="宋体"/>
                <w:szCs w:val="21"/>
                <w:highlight w:val="none"/>
                <w:lang w:eastAsia="zh-Hans"/>
              </w:rPr>
              <w:t>083.72</w:t>
            </w:r>
          </w:p>
        </w:tc>
        <w:tc>
          <w:tcPr>
            <w:tcW w:w="1694" w:type="dxa"/>
            <w:vAlign w:val="center"/>
          </w:tcPr>
          <w:p>
            <w:pPr>
              <w:spacing w:line="360" w:lineRule="auto"/>
              <w:jc w:val="center"/>
              <w:rPr>
                <w:rFonts w:ascii="Times New Roman" w:hAnsi="Times New Roman" w:eastAsia="宋体" w:cs="宋体"/>
                <w:szCs w:val="21"/>
                <w:highlight w:val="none"/>
              </w:rPr>
            </w:pPr>
            <w:r>
              <w:rPr>
                <w:rFonts w:hint="eastAsia" w:ascii="Times New Roman" w:hAnsi="Times New Roman" w:eastAsia="宋体" w:cs="宋体"/>
                <w:szCs w:val="21"/>
                <w:highlight w:val="none"/>
              </w:rPr>
              <w:t>吨二氧化碳当量</w:t>
            </w:r>
          </w:p>
        </w:tc>
        <w:tc>
          <w:tcPr>
            <w:tcW w:w="1694" w:type="dxa"/>
            <w:vAlign w:val="center"/>
          </w:tcPr>
          <w:p>
            <w:pPr>
              <w:spacing w:line="360" w:lineRule="auto"/>
              <w:jc w:val="center"/>
              <w:rPr>
                <w:rFonts w:hint="default" w:ascii="Times New Roman" w:hAnsi="Times New Roman" w:eastAsia="宋体" w:cs="宋体"/>
                <w:szCs w:val="21"/>
                <w:highlight w:val="none"/>
                <w:lang w:val="en-US" w:eastAsia="zh-CN"/>
              </w:rPr>
            </w:pPr>
            <w:r>
              <w:rPr>
                <w:rFonts w:hint="eastAsia" w:ascii="Times New Roman" w:hAnsi="Times New Roman" w:eastAsia="宋体" w:cs="宋体"/>
                <w:szCs w:val="21"/>
                <w:highlight w:val="none"/>
                <w:lang w:val="en-US" w:eastAsia="zh-CN"/>
              </w:rPr>
              <w:t>21.34</w:t>
            </w:r>
          </w:p>
        </w:tc>
        <w:tc>
          <w:tcPr>
            <w:tcW w:w="1694" w:type="dxa"/>
            <w:vAlign w:val="center"/>
          </w:tcPr>
          <w:p>
            <w:pPr>
              <w:spacing w:line="360" w:lineRule="auto"/>
              <w:jc w:val="center"/>
              <w:rPr>
                <w:rFonts w:ascii="Times New Roman" w:hAnsi="Times New Roman" w:eastAsia="宋体" w:cs="宋体"/>
                <w:szCs w:val="21"/>
                <w:highlight w:val="none"/>
              </w:rPr>
            </w:pPr>
            <w:r>
              <w:rPr>
                <w:rFonts w:hint="eastAsia" w:ascii="Times New Roman" w:hAnsi="Times New Roman" w:eastAsia="宋体" w:cs="宋体"/>
                <w:szCs w:val="21"/>
                <w:highlight w:val="none"/>
              </w:rPr>
              <w:t>吨二氧化碳当量</w:t>
            </w:r>
            <w:r>
              <w:rPr>
                <w:rFonts w:ascii="Times New Roman" w:hAnsi="Times New Roman" w:eastAsia="宋体" w:cs="宋体"/>
                <w:szCs w:val="21"/>
                <w:highlight w:val="none"/>
              </w:rPr>
              <w:t>/</w:t>
            </w:r>
            <w:r>
              <w:rPr>
                <w:rFonts w:hint="eastAsia" w:ascii="Times New Roman" w:hAnsi="Times New Roman" w:eastAsia="宋体" w:cs="宋体"/>
                <w:szCs w:val="21"/>
                <w:highlight w:val="none"/>
              </w:rPr>
              <w:t>人</w:t>
            </w:r>
          </w:p>
        </w:tc>
      </w:tr>
    </w:tbl>
    <w:p>
      <w:pPr>
        <w:pStyle w:val="2"/>
        <w:spacing w:line="360" w:lineRule="auto"/>
        <w:ind w:left="0" w:leftChars="0" w:firstLine="0" w:firstLineChars="0"/>
        <w:rPr>
          <w:rFonts w:hint="default" w:ascii="Times New Roman" w:hAnsi="Times New Roman" w:eastAsia="宋体"/>
          <w:szCs w:val="21"/>
          <w:highlight w:val="none"/>
        </w:rPr>
      </w:pPr>
      <w:r>
        <w:rPr>
          <w:rFonts w:ascii="Times New Roman" w:hAnsi="Times New Roman" w:eastAsia="宋体"/>
          <w:szCs w:val="21"/>
          <w:highlight w:val="none"/>
        </w:rPr>
        <w:t>注：</w:t>
      </w:r>
      <w:r>
        <w:rPr>
          <w:rFonts w:hint="default" w:ascii="Times New Roman" w:hAnsi="Times New Roman" w:eastAsia="宋体"/>
          <w:szCs w:val="21"/>
          <w:highlight w:val="none"/>
        </w:rPr>
        <w:t>1.</w:t>
      </w:r>
      <w:r>
        <w:rPr>
          <w:rFonts w:ascii="Times New Roman" w:hAnsi="Times New Roman" w:eastAsia="宋体"/>
          <w:szCs w:val="21"/>
          <w:highlight w:val="none"/>
        </w:rPr>
        <w:t>经营活动产生的直接和间接温室气体排放统计对象范围为总行大楼；</w:t>
      </w:r>
    </w:p>
    <w:p>
      <w:pPr>
        <w:pStyle w:val="2"/>
        <w:spacing w:line="360" w:lineRule="auto"/>
        <w:ind w:left="0" w:leftChars="0"/>
        <w:rPr>
          <w:rFonts w:hint="default" w:ascii="Times New Roman" w:hAnsi="Times New Roman" w:eastAsia="宋体"/>
          <w:szCs w:val="21"/>
          <w:highlight w:val="none"/>
        </w:rPr>
      </w:pPr>
      <w:r>
        <w:rPr>
          <w:rFonts w:hint="default" w:ascii="Times New Roman" w:hAnsi="Times New Roman" w:eastAsia="宋体"/>
          <w:szCs w:val="21"/>
          <w:highlight w:val="none"/>
        </w:rPr>
        <w:t>2.</w:t>
      </w:r>
      <w:r>
        <w:rPr>
          <w:rFonts w:ascii="Times New Roman" w:hAnsi="Times New Roman" w:eastAsia="宋体"/>
          <w:szCs w:val="21"/>
          <w:highlight w:val="none"/>
        </w:rPr>
        <w:t>直接温室气体排放（范围一）包括总行自有交通运输工具油气资源消耗；</w:t>
      </w:r>
    </w:p>
    <w:p>
      <w:pPr>
        <w:pStyle w:val="2"/>
        <w:spacing w:line="360" w:lineRule="auto"/>
        <w:ind w:left="0" w:leftChars="0"/>
        <w:rPr>
          <w:rFonts w:hint="default" w:ascii="Times New Roman" w:hAnsi="Times New Roman" w:eastAsia="宋体"/>
          <w:szCs w:val="21"/>
          <w:highlight w:val="none"/>
        </w:rPr>
      </w:pPr>
      <w:r>
        <w:rPr>
          <w:rFonts w:hint="default" w:ascii="Times New Roman" w:hAnsi="Times New Roman" w:eastAsia="宋体"/>
          <w:szCs w:val="21"/>
          <w:highlight w:val="none"/>
        </w:rPr>
        <w:t>3.</w:t>
      </w:r>
      <w:bookmarkStart w:id="245" w:name="_Hlk134445595"/>
      <w:r>
        <w:rPr>
          <w:rFonts w:ascii="Times New Roman" w:hAnsi="Times New Roman" w:eastAsia="宋体"/>
          <w:szCs w:val="21"/>
          <w:highlight w:val="none"/>
        </w:rPr>
        <w:t>间接温室气体排放（范围二）包括总行经营办公活动的电力和纸张消耗；</w:t>
      </w:r>
      <w:bookmarkEnd w:id="245"/>
    </w:p>
    <w:p>
      <w:pPr>
        <w:pStyle w:val="2"/>
        <w:spacing w:line="360" w:lineRule="auto"/>
        <w:ind w:left="0" w:leftChars="0"/>
        <w:rPr>
          <w:rFonts w:hint="default" w:ascii="Times New Roman" w:hAnsi="Times New Roman" w:eastAsia="宋体"/>
          <w:szCs w:val="21"/>
          <w:highlight w:val="none"/>
        </w:rPr>
      </w:pPr>
      <w:r>
        <w:rPr>
          <w:rFonts w:hint="default" w:ascii="Times New Roman" w:hAnsi="Times New Roman" w:eastAsia="宋体"/>
          <w:szCs w:val="21"/>
          <w:highlight w:val="none"/>
        </w:rPr>
        <w:t>4.</w:t>
      </w:r>
      <w:r>
        <w:rPr>
          <w:rFonts w:ascii="Times New Roman" w:hAnsi="Times New Roman" w:eastAsia="宋体"/>
          <w:szCs w:val="21"/>
          <w:highlight w:val="none"/>
        </w:rPr>
        <w:t>间接温室气体排放（范围</w:t>
      </w:r>
      <w:r>
        <w:rPr>
          <w:rFonts w:hint="eastAsia" w:ascii="Times New Roman" w:hAnsi="Times New Roman" w:eastAsia="宋体"/>
          <w:szCs w:val="21"/>
          <w:highlight w:val="none"/>
          <w:lang w:val="en-US" w:eastAsia="zh-CN"/>
        </w:rPr>
        <w:t>三</w:t>
      </w:r>
      <w:r>
        <w:rPr>
          <w:rFonts w:ascii="Times New Roman" w:hAnsi="Times New Roman" w:eastAsia="宋体"/>
          <w:szCs w:val="21"/>
          <w:highlight w:val="none"/>
        </w:rPr>
        <w:t>）包括</w:t>
      </w:r>
      <w:r>
        <w:rPr>
          <w:rFonts w:hint="eastAsia" w:ascii="Times New Roman" w:hAnsi="Times New Roman" w:eastAsia="宋体"/>
          <w:szCs w:val="21"/>
          <w:highlight w:val="none"/>
          <w:lang w:val="en-US" w:eastAsia="zh-CN"/>
        </w:rPr>
        <w:t>员工通勤全部方式里程数</w:t>
      </w:r>
      <w:r>
        <w:rPr>
          <w:rFonts w:ascii="Times New Roman" w:hAnsi="Times New Roman" w:eastAsia="宋体"/>
          <w:szCs w:val="21"/>
          <w:highlight w:val="none"/>
        </w:rPr>
        <w:t>；</w:t>
      </w:r>
    </w:p>
    <w:p>
      <w:pPr>
        <w:pStyle w:val="2"/>
        <w:spacing w:line="360" w:lineRule="auto"/>
        <w:ind w:left="0" w:leftChars="0"/>
        <w:rPr>
          <w:rFonts w:hint="eastAsia" w:ascii="Times New Roman" w:hAnsi="Times New Roman" w:eastAsia="宋体"/>
          <w:szCs w:val="21"/>
          <w:highlight w:val="none"/>
          <w:lang w:eastAsia="zh-CN"/>
        </w:rPr>
      </w:pPr>
      <w:r>
        <w:rPr>
          <w:rFonts w:hint="eastAsia" w:ascii="Times New Roman" w:hAnsi="Times New Roman" w:eastAsia="宋体"/>
          <w:szCs w:val="21"/>
          <w:highlight w:val="none"/>
          <w:lang w:val="en-US" w:eastAsia="zh-CN"/>
        </w:rPr>
        <w:t>5.</w:t>
      </w:r>
      <w:r>
        <w:rPr>
          <w:rFonts w:ascii="Times New Roman" w:hAnsi="Times New Roman" w:eastAsia="宋体"/>
          <w:szCs w:val="21"/>
          <w:highlight w:val="none"/>
        </w:rPr>
        <w:t>温室气体排放总量为直接温室气体排放量（范围一）</w:t>
      </w:r>
      <w:r>
        <w:rPr>
          <w:rFonts w:hint="eastAsia" w:ascii="Times New Roman" w:hAnsi="Times New Roman" w:eastAsia="宋体"/>
          <w:szCs w:val="21"/>
          <w:highlight w:val="none"/>
          <w:lang w:eastAsia="zh-CN"/>
        </w:rPr>
        <w:t>、</w:t>
      </w:r>
      <w:r>
        <w:rPr>
          <w:rFonts w:ascii="Times New Roman" w:hAnsi="Times New Roman" w:eastAsia="宋体"/>
          <w:szCs w:val="21"/>
          <w:highlight w:val="none"/>
        </w:rPr>
        <w:t>间接温室气体排放量（范围二）</w:t>
      </w:r>
      <w:r>
        <w:rPr>
          <w:rFonts w:hint="eastAsia" w:ascii="Times New Roman" w:hAnsi="Times New Roman" w:eastAsia="宋体"/>
          <w:szCs w:val="21"/>
          <w:highlight w:val="none"/>
          <w:lang w:val="en-US" w:eastAsia="zh-CN"/>
        </w:rPr>
        <w:t>和</w:t>
      </w:r>
      <w:r>
        <w:rPr>
          <w:rFonts w:ascii="Times New Roman" w:hAnsi="Times New Roman" w:eastAsia="宋体"/>
          <w:szCs w:val="21"/>
          <w:highlight w:val="none"/>
        </w:rPr>
        <w:t>间接温室气体排放量（范围</w:t>
      </w:r>
      <w:r>
        <w:rPr>
          <w:rFonts w:hint="eastAsia" w:ascii="Times New Roman" w:hAnsi="Times New Roman" w:eastAsia="宋体"/>
          <w:szCs w:val="21"/>
          <w:highlight w:val="none"/>
          <w:lang w:val="en-US" w:eastAsia="zh-CN"/>
        </w:rPr>
        <w:t>三</w:t>
      </w:r>
      <w:r>
        <w:rPr>
          <w:rFonts w:ascii="Times New Roman" w:hAnsi="Times New Roman" w:eastAsia="宋体"/>
          <w:szCs w:val="21"/>
          <w:highlight w:val="none"/>
        </w:rPr>
        <w:t>）的总和</w:t>
      </w:r>
      <w:r>
        <w:rPr>
          <w:rFonts w:hint="eastAsia" w:ascii="Times New Roman" w:hAnsi="Times New Roman" w:eastAsia="宋体"/>
          <w:szCs w:val="21"/>
          <w:highlight w:val="none"/>
          <w:lang w:eastAsia="zh-CN"/>
        </w:rPr>
        <w:t>。</w:t>
      </w:r>
    </w:p>
    <w:bookmarkEnd w:id="203"/>
    <w:bookmarkEnd w:id="204"/>
    <w:bookmarkEnd w:id="205"/>
    <w:p>
      <w:pPr>
        <w:pStyle w:val="5"/>
        <w:keepNext w:val="0"/>
        <w:keepLines w:val="0"/>
        <w:numPr>
          <w:ilvl w:val="0"/>
          <w:numId w:val="12"/>
        </w:numPr>
        <w:spacing w:line="360" w:lineRule="auto"/>
        <w:jc w:val="both"/>
        <w:rPr>
          <w:rFonts w:cstheme="minorBidi"/>
          <w:bCs w:val="0"/>
          <w:color w:val="2E75B6" w:themeColor="accent5" w:themeShade="BF"/>
        </w:rPr>
      </w:pPr>
      <w:bookmarkStart w:id="246" w:name="_Toc134445789"/>
      <w:bookmarkEnd w:id="246"/>
      <w:bookmarkStart w:id="247" w:name="_Toc134445866"/>
      <w:bookmarkEnd w:id="247"/>
      <w:bookmarkStart w:id="248" w:name="_Toc17643"/>
      <w:bookmarkStart w:id="249" w:name="_Toc19580"/>
      <w:bookmarkStart w:id="250" w:name="_Toc2657"/>
      <w:bookmarkStart w:id="251" w:name="_Toc9278"/>
      <w:bookmarkStart w:id="252" w:name="_Toc17377"/>
      <w:r>
        <w:rPr>
          <w:rFonts w:hint="eastAsia" w:cstheme="minorBidi"/>
          <w:bCs w:val="0"/>
          <w:color w:val="2E75B6" w:themeColor="accent5" w:themeShade="BF"/>
        </w:rPr>
        <w:t>采取环保措施所产生的环境效益</w:t>
      </w:r>
      <w:bookmarkEnd w:id="248"/>
      <w:bookmarkEnd w:id="249"/>
      <w:bookmarkEnd w:id="250"/>
      <w:bookmarkEnd w:id="251"/>
      <w:bookmarkEnd w:id="252"/>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为提升自身办公运营环境表现，践行社会责任，本行积极开展绿色办公相关宣传和倡导活动，提升员工节能环保意识，同时全方位落实低碳运营、绿色采购等措施，以实现自身运营碳中和为目标加强运营管理。</w:t>
      </w:r>
    </w:p>
    <w:p>
      <w:pPr>
        <w:spacing w:line="360" w:lineRule="auto"/>
        <w:ind w:firstLine="480" w:firstLineChars="200"/>
        <w:rPr>
          <w:rFonts w:ascii="Times New Roman" w:hAnsi="Times New Roman" w:eastAsia="宋体" w:cs="Times New Roman"/>
          <w:sz w:val="24"/>
          <w:szCs w:val="24"/>
        </w:rPr>
      </w:pPr>
    </w:p>
    <w:p>
      <w:pPr>
        <w:widowControl/>
        <w:numPr>
          <w:ilvl w:val="0"/>
          <w:numId w:val="13"/>
        </w:numPr>
        <w:spacing w:before="40" w:after="40" w:line="360" w:lineRule="auto"/>
        <w:rPr>
          <w:rFonts w:ascii="Times New Roman" w:hAnsi="Times New Roman" w:eastAsia="宋体" w:cs="黑体"/>
          <w:b/>
          <w:bCs/>
          <w:color w:val="2E75B6" w:themeColor="accent5" w:themeShade="BF"/>
          <w:kern w:val="0"/>
          <w:sz w:val="24"/>
          <w:szCs w:val="24"/>
        </w:rPr>
      </w:pPr>
      <w:r>
        <w:rPr>
          <w:rFonts w:hint="eastAsia" w:ascii="Times New Roman" w:hAnsi="Times New Roman" w:eastAsia="宋体" w:cs="黑体"/>
          <w:b/>
          <w:bCs/>
          <w:color w:val="2E75B6" w:themeColor="accent5" w:themeShade="BF"/>
          <w:kern w:val="0"/>
          <w:sz w:val="24"/>
          <w:szCs w:val="24"/>
        </w:rPr>
        <w:t>节水节电管理</w:t>
      </w:r>
    </w:p>
    <w:p>
      <w:pPr>
        <w:widowControl/>
        <w:numPr>
          <w:ilvl w:val="0"/>
          <w:numId w:val="14"/>
        </w:numPr>
        <w:spacing w:line="360" w:lineRule="auto"/>
        <w:rPr>
          <w:rFonts w:ascii="Times New Roman" w:hAnsi="Times New Roman" w:eastAsia="宋体" w:cs="宋体"/>
          <w:color w:val="000000"/>
          <w:kern w:val="0"/>
          <w:sz w:val="24"/>
          <w:szCs w:val="24"/>
          <w:highlight w:val="none"/>
        </w:rPr>
      </w:pPr>
      <w:r>
        <w:rPr>
          <w:rFonts w:hint="eastAsia" w:ascii="Times New Roman" w:hAnsi="Times New Roman" w:eastAsia="宋体" w:cs="黑体"/>
          <w:b/>
          <w:bCs/>
          <w:color w:val="2E75B6" w:themeColor="accent5" w:themeShade="BF"/>
          <w:kern w:val="0"/>
          <w:sz w:val="24"/>
          <w:szCs w:val="24"/>
          <w:highlight w:val="none"/>
        </w:rPr>
        <w:t>办公用水：</w:t>
      </w:r>
      <w:r>
        <w:rPr>
          <w:rFonts w:hint="eastAsia" w:ascii="Times New Roman" w:hAnsi="Times New Roman" w:eastAsia="宋体" w:cs="宋体"/>
          <w:kern w:val="0"/>
          <w:sz w:val="24"/>
          <w:szCs w:val="24"/>
          <w:highlight w:val="none"/>
        </w:rPr>
        <w:t>本行要求员工用水时适当控制水用量，做到随手关闭水龙头，定期检查、维护用水器具，杜绝滴、冒、漏等不必要浪费水的现象；防止办公室的水用于其它用途，禁止外来人员接水外出。</w:t>
      </w:r>
    </w:p>
    <w:p>
      <w:pPr>
        <w:numPr>
          <w:ilvl w:val="0"/>
          <w:numId w:val="15"/>
        </w:numPr>
        <w:spacing w:line="360" w:lineRule="auto"/>
        <w:ind w:left="839"/>
        <w:rPr>
          <w:rFonts w:ascii="Times New Roman" w:hAnsi="Times New Roman" w:eastAsia="宋体"/>
          <w:kern w:val="0"/>
          <w:sz w:val="24"/>
          <w:szCs w:val="24"/>
          <w:highlight w:val="none"/>
        </w:rPr>
      </w:pPr>
      <w:r>
        <w:rPr>
          <w:rFonts w:hint="eastAsia" w:ascii="Times New Roman" w:hAnsi="Times New Roman" w:eastAsia="宋体" w:cs="黑体"/>
          <w:b/>
          <w:bCs/>
          <w:color w:val="2E75B6" w:themeColor="accent5" w:themeShade="BF"/>
          <w:kern w:val="0"/>
          <w:sz w:val="24"/>
          <w:szCs w:val="24"/>
          <w:highlight w:val="none"/>
        </w:rPr>
        <w:t>空调用电：</w:t>
      </w:r>
      <w:r>
        <w:rPr>
          <w:rFonts w:hint="eastAsia" w:ascii="Times New Roman" w:hAnsi="Times New Roman" w:eastAsia="宋体" w:cs="宋体"/>
          <w:kern w:val="0"/>
          <w:sz w:val="24"/>
          <w:szCs w:val="24"/>
          <w:highlight w:val="none"/>
        </w:rPr>
        <w:t>本行倡导节约空调用电，夏季空调温度不低于摄氏</w:t>
      </w:r>
      <w:r>
        <w:rPr>
          <w:rFonts w:ascii="Times New Roman" w:hAnsi="Times New Roman" w:eastAsia="宋体" w:cs="宋体"/>
          <w:kern w:val="0"/>
          <w:sz w:val="24"/>
          <w:szCs w:val="24"/>
          <w:highlight w:val="none"/>
        </w:rPr>
        <w:t>26</w:t>
      </w:r>
      <w:r>
        <w:rPr>
          <w:rFonts w:hint="eastAsia" w:ascii="Times New Roman" w:hAnsi="Times New Roman" w:eastAsia="宋体" w:cs="宋体"/>
          <w:kern w:val="0"/>
          <w:sz w:val="24"/>
          <w:szCs w:val="24"/>
          <w:highlight w:val="none"/>
        </w:rPr>
        <w:t>度，控制空调温度，节约能源。</w:t>
      </w:r>
    </w:p>
    <w:p>
      <w:pPr>
        <w:numPr>
          <w:ilvl w:val="0"/>
          <w:numId w:val="15"/>
        </w:numPr>
        <w:spacing w:line="360" w:lineRule="auto"/>
        <w:ind w:left="839"/>
        <w:rPr>
          <w:rFonts w:ascii="Times New Roman" w:hAnsi="Times New Roman" w:eastAsia="宋体"/>
          <w:kern w:val="0"/>
          <w:sz w:val="24"/>
          <w:szCs w:val="24"/>
        </w:rPr>
      </w:pPr>
      <w:r>
        <w:rPr>
          <w:rFonts w:hint="eastAsia" w:ascii="Times New Roman" w:hAnsi="Times New Roman" w:eastAsia="宋体" w:cs="黑体"/>
          <w:b/>
          <w:bCs/>
          <w:color w:val="2E75B6" w:themeColor="accent5" w:themeShade="BF"/>
          <w:kern w:val="0"/>
          <w:sz w:val="24"/>
          <w:szCs w:val="24"/>
        </w:rPr>
        <w:t>照明用电：</w:t>
      </w:r>
      <w:r>
        <w:rPr>
          <w:rFonts w:hint="eastAsia" w:ascii="Times New Roman" w:hAnsi="Times New Roman" w:eastAsia="宋体" w:cs="宋体"/>
          <w:kern w:val="0"/>
          <w:sz w:val="24"/>
          <w:szCs w:val="24"/>
        </w:rPr>
        <w:t>本行严格管理</w:t>
      </w:r>
      <w:r>
        <w:rPr>
          <w:rFonts w:hint="eastAsia" w:ascii="Times New Roman" w:hAnsi="Times New Roman" w:eastAsia="宋体" w:cs="宋体"/>
          <w:kern w:val="0"/>
          <w:sz w:val="24"/>
          <w:szCs w:val="24"/>
          <w:lang w:eastAsia="zh-Hans"/>
        </w:rPr>
        <w:t>用电</w:t>
      </w:r>
      <w:r>
        <w:rPr>
          <w:rFonts w:hint="eastAsia" w:ascii="Times New Roman" w:hAnsi="Times New Roman" w:eastAsia="宋体" w:cs="宋体"/>
          <w:kern w:val="0"/>
          <w:sz w:val="24"/>
          <w:szCs w:val="24"/>
        </w:rPr>
        <w:t>，做到阳光充足、室内光线好时不开灯，减少照明设备耗能，做到“人走关灯”，杜绝长明灯；计算机、复印机等长时间不用时要关闭电源，避免长时间待机，做到“人走关机”</w:t>
      </w:r>
    </w:p>
    <w:p>
      <w:pPr>
        <w:widowControl/>
        <w:numPr>
          <w:ilvl w:val="0"/>
          <w:numId w:val="16"/>
        </w:numPr>
        <w:spacing w:line="360" w:lineRule="auto"/>
        <w:rPr>
          <w:rFonts w:ascii="Times New Roman" w:hAnsi="Times New Roman" w:eastAsia="宋体" w:cs="黑体"/>
          <w:b/>
          <w:bCs/>
          <w:color w:val="385723" w:themeColor="accent6" w:themeShade="80"/>
          <w:kern w:val="0"/>
          <w:sz w:val="24"/>
          <w:szCs w:val="24"/>
        </w:rPr>
      </w:pPr>
      <w:r>
        <w:rPr>
          <w:rFonts w:hint="eastAsia" w:ascii="Times New Roman" w:hAnsi="Times New Roman" w:eastAsia="宋体" w:cs="黑体"/>
          <w:b/>
          <w:bCs/>
          <w:color w:val="2E75B6" w:themeColor="accent5" w:themeShade="BF"/>
          <w:kern w:val="0"/>
          <w:sz w:val="24"/>
          <w:szCs w:val="24"/>
        </w:rPr>
        <w:t>维修养护：</w:t>
      </w:r>
      <w:r>
        <w:rPr>
          <w:rFonts w:hint="eastAsia" w:ascii="Times New Roman" w:hAnsi="Times New Roman" w:eastAsia="宋体" w:cs="宋体"/>
          <w:kern w:val="0"/>
          <w:sz w:val="24"/>
          <w:szCs w:val="24"/>
        </w:rPr>
        <w:t>本行定期开展对用电设备和供水设备的改造，对电梯、空调、灯具等设备进行安全检查和低碳节能升级，逐步淘汰高耗能设备；对存在无法拧紧的水龙头进行及时更换。</w:t>
      </w:r>
    </w:p>
    <w:p>
      <w:pPr>
        <w:widowControl/>
        <w:numPr>
          <w:ilvl w:val="0"/>
          <w:numId w:val="17"/>
        </w:numPr>
        <w:spacing w:before="40" w:after="40" w:line="360" w:lineRule="auto"/>
        <w:rPr>
          <w:rFonts w:ascii="Times New Roman" w:hAnsi="Times New Roman" w:eastAsia="宋体" w:cs="黑体"/>
          <w:b/>
          <w:bCs/>
          <w:color w:val="2E75B6" w:themeColor="accent5" w:themeShade="BF"/>
          <w:kern w:val="0"/>
          <w:sz w:val="24"/>
          <w:szCs w:val="24"/>
        </w:rPr>
      </w:pPr>
      <w:r>
        <w:rPr>
          <w:rFonts w:hint="eastAsia" w:ascii="Times New Roman" w:hAnsi="Times New Roman" w:eastAsia="宋体" w:cs="黑体"/>
          <w:b/>
          <w:bCs/>
          <w:color w:val="2E75B6" w:themeColor="accent5" w:themeShade="BF"/>
          <w:kern w:val="0"/>
          <w:sz w:val="24"/>
          <w:szCs w:val="24"/>
        </w:rPr>
        <w:t>公务用车管理</w:t>
      </w:r>
    </w:p>
    <w:p>
      <w:pPr>
        <w:numPr>
          <w:ilvl w:val="0"/>
          <w:numId w:val="18"/>
        </w:numPr>
        <w:spacing w:line="360" w:lineRule="auto"/>
        <w:ind w:left="839"/>
        <w:rPr>
          <w:rFonts w:ascii="Times New Roman" w:hAnsi="Times New Roman" w:eastAsia="宋体" w:cs="宋体"/>
          <w:sz w:val="24"/>
          <w:szCs w:val="24"/>
          <w:lang w:bidi="ar"/>
        </w:rPr>
      </w:pPr>
      <w:r>
        <w:rPr>
          <w:rFonts w:hint="eastAsia" w:ascii="Times New Roman" w:hAnsi="Times New Roman" w:eastAsia="宋体" w:cs="黑体"/>
          <w:b/>
          <w:bCs/>
          <w:color w:val="2E75B6" w:themeColor="accent5" w:themeShade="BF"/>
          <w:sz w:val="24"/>
          <w:szCs w:val="24"/>
          <w:lang w:bidi="ar"/>
        </w:rPr>
        <w:t>报废处理不达标车辆</w:t>
      </w:r>
      <w:r>
        <w:rPr>
          <w:rFonts w:hint="eastAsia" w:ascii="Times New Roman" w:hAnsi="Times New Roman" w:eastAsia="宋体" w:cs="宋体"/>
          <w:b/>
          <w:bCs/>
          <w:color w:val="2E75B6" w:themeColor="accent5" w:themeShade="BF"/>
          <w:sz w:val="24"/>
          <w:szCs w:val="24"/>
          <w:lang w:bidi="ar"/>
        </w:rPr>
        <w:t>：</w:t>
      </w:r>
      <w:r>
        <w:rPr>
          <w:rFonts w:hint="eastAsia" w:ascii="Times New Roman" w:hAnsi="Times New Roman" w:eastAsia="宋体" w:cs="宋体"/>
          <w:sz w:val="24"/>
          <w:szCs w:val="24"/>
          <w:lang w:bidi="ar"/>
        </w:rPr>
        <w:t>对行驶里程高、车况差、积碳严重、油耗高的车辆坚决予以报废。</w:t>
      </w:r>
    </w:p>
    <w:p>
      <w:pPr>
        <w:numPr>
          <w:ilvl w:val="0"/>
          <w:numId w:val="18"/>
        </w:numPr>
        <w:spacing w:line="360" w:lineRule="auto"/>
        <w:ind w:left="839"/>
        <w:rPr>
          <w:rFonts w:ascii="Times New Roman" w:hAnsi="Times New Roman" w:eastAsia="宋体" w:cs="宋体"/>
          <w:sz w:val="24"/>
          <w:szCs w:val="24"/>
          <w:lang w:bidi="ar"/>
        </w:rPr>
      </w:pPr>
      <w:r>
        <w:rPr>
          <w:rFonts w:hint="eastAsia" w:ascii="Times New Roman" w:hAnsi="Times New Roman" w:eastAsia="宋体" w:cs="黑体"/>
          <w:b/>
          <w:bCs/>
          <w:color w:val="2E75B6" w:themeColor="accent5" w:themeShade="BF"/>
          <w:sz w:val="24"/>
          <w:szCs w:val="24"/>
          <w:lang w:bidi="ar"/>
        </w:rPr>
        <w:t>定期维修保养车辆</w:t>
      </w:r>
      <w:r>
        <w:rPr>
          <w:rFonts w:hint="eastAsia" w:ascii="Times New Roman" w:hAnsi="Times New Roman" w:eastAsia="宋体" w:cs="宋体"/>
          <w:b/>
          <w:bCs/>
          <w:color w:val="2E75B6" w:themeColor="accent5" w:themeShade="BF"/>
          <w:sz w:val="24"/>
          <w:szCs w:val="24"/>
          <w:lang w:bidi="ar"/>
        </w:rPr>
        <w:t>：</w:t>
      </w:r>
      <w:r>
        <w:rPr>
          <w:rFonts w:hint="eastAsia" w:ascii="Times New Roman" w:hAnsi="Times New Roman" w:eastAsia="宋体" w:cs="宋体"/>
          <w:sz w:val="24"/>
          <w:szCs w:val="24"/>
          <w:lang w:bidi="ar"/>
        </w:rPr>
        <w:t>保障车辆车况良好，不积碳、不烧机油，减少碳排放</w:t>
      </w:r>
      <w:r>
        <w:rPr>
          <w:rFonts w:ascii="Times New Roman" w:hAnsi="Times New Roman" w:eastAsia="宋体" w:cs="宋体"/>
          <w:sz w:val="24"/>
          <w:szCs w:val="24"/>
          <w:lang w:bidi="ar"/>
        </w:rPr>
        <w:t>。</w:t>
      </w:r>
    </w:p>
    <w:p>
      <w:pPr>
        <w:numPr>
          <w:ilvl w:val="0"/>
          <w:numId w:val="18"/>
        </w:numPr>
        <w:spacing w:line="360" w:lineRule="auto"/>
        <w:ind w:left="839"/>
        <w:rPr>
          <w:rFonts w:ascii="Times New Roman" w:hAnsi="Times New Roman" w:eastAsia="宋体" w:cs="宋体"/>
          <w:sz w:val="24"/>
          <w:szCs w:val="24"/>
          <w:lang w:bidi="ar"/>
        </w:rPr>
      </w:pPr>
      <w:r>
        <w:rPr>
          <w:rFonts w:hint="eastAsia" w:ascii="Times New Roman" w:hAnsi="Times New Roman" w:eastAsia="宋体" w:cs="黑体"/>
          <w:b/>
          <w:bCs/>
          <w:color w:val="2E75B6" w:themeColor="accent5" w:themeShade="BF"/>
          <w:sz w:val="24"/>
          <w:szCs w:val="24"/>
          <w:lang w:bidi="ar"/>
        </w:rPr>
        <w:t>加强用车管理</w:t>
      </w:r>
      <w:r>
        <w:rPr>
          <w:rFonts w:hint="eastAsia" w:ascii="Times New Roman" w:hAnsi="Times New Roman" w:eastAsia="宋体" w:cs="宋体"/>
          <w:b/>
          <w:bCs/>
          <w:color w:val="2E75B6" w:themeColor="accent5" w:themeShade="BF"/>
          <w:sz w:val="24"/>
          <w:szCs w:val="24"/>
          <w:lang w:bidi="ar"/>
        </w:rPr>
        <w:t>：</w:t>
      </w:r>
      <w:r>
        <w:rPr>
          <w:rFonts w:hint="eastAsia" w:ascii="Times New Roman" w:hAnsi="Times New Roman" w:eastAsia="宋体" w:cs="宋体"/>
          <w:sz w:val="24"/>
          <w:szCs w:val="24"/>
          <w:lang w:bidi="ar"/>
        </w:rPr>
        <w:t>实行车辆统一集中管理，车辆非外出公干，夜间必须停放在本行指定区域，严禁公车私用；公务人员在离车参加公务活动时，驾驶人员应将车辆熄火待命，禁止停车开启空调等待。</w:t>
      </w:r>
    </w:p>
    <w:p>
      <w:pPr>
        <w:numPr>
          <w:ilvl w:val="0"/>
          <w:numId w:val="18"/>
        </w:numPr>
        <w:spacing w:line="360" w:lineRule="auto"/>
        <w:ind w:left="839"/>
        <w:rPr>
          <w:rFonts w:ascii="Times New Roman" w:hAnsi="Times New Roman" w:eastAsia="宋体" w:cs="Times New Roman"/>
          <w:b/>
          <w:bCs/>
          <w:sz w:val="32"/>
          <w:szCs w:val="32"/>
        </w:rPr>
      </w:pPr>
      <w:r>
        <w:rPr>
          <w:rFonts w:hint="eastAsia" w:ascii="Times New Roman" w:hAnsi="Times New Roman" w:eastAsia="宋体" w:cs="黑体"/>
          <w:b/>
          <w:bCs/>
          <w:color w:val="2E75B6" w:themeColor="accent5" w:themeShade="BF"/>
          <w:sz w:val="24"/>
          <w:szCs w:val="24"/>
          <w:lang w:bidi="ar"/>
        </w:rPr>
        <w:t>加强油卡管理：</w:t>
      </w:r>
      <w:r>
        <w:rPr>
          <w:rFonts w:hint="eastAsia" w:ascii="Times New Roman" w:hAnsi="Times New Roman" w:eastAsia="宋体" w:cs="宋体"/>
          <w:sz w:val="24"/>
          <w:szCs w:val="24"/>
          <w:lang w:bidi="ar"/>
        </w:rPr>
        <w:t>实行一车一卡，严禁公油私加。</w:t>
      </w:r>
    </w:p>
    <w:p>
      <w:pPr>
        <w:widowControl/>
        <w:numPr>
          <w:ilvl w:val="0"/>
          <w:numId w:val="17"/>
        </w:numPr>
        <w:spacing w:before="40" w:after="40" w:line="360" w:lineRule="auto"/>
        <w:rPr>
          <w:rFonts w:ascii="Times New Roman" w:hAnsi="Times New Roman" w:eastAsia="宋体" w:cs="黑体"/>
          <w:b/>
          <w:bCs/>
          <w:color w:val="2E75B6" w:themeColor="accent5" w:themeShade="BF"/>
          <w:kern w:val="0"/>
          <w:sz w:val="24"/>
          <w:szCs w:val="24"/>
        </w:rPr>
      </w:pPr>
      <w:r>
        <w:rPr>
          <w:rFonts w:hint="eastAsia" w:ascii="Times New Roman" w:hAnsi="Times New Roman" w:eastAsia="宋体" w:cs="黑体"/>
          <w:b/>
          <w:bCs/>
          <w:color w:val="2E75B6" w:themeColor="accent5" w:themeShade="BF"/>
          <w:kern w:val="0"/>
          <w:sz w:val="24"/>
          <w:szCs w:val="24"/>
          <w:lang w:eastAsia="zh-Hans"/>
        </w:rPr>
        <w:t>食堂管理</w:t>
      </w:r>
    </w:p>
    <w:p>
      <w:pPr>
        <w:numPr>
          <w:ilvl w:val="0"/>
          <w:numId w:val="19"/>
        </w:numPr>
        <w:spacing w:line="360" w:lineRule="auto"/>
        <w:rPr>
          <w:rFonts w:ascii="Times New Roman" w:hAnsi="Times New Roman" w:eastAsia="宋体" w:cs="宋体"/>
          <w:sz w:val="24"/>
          <w:szCs w:val="24"/>
        </w:rPr>
      </w:pPr>
      <w:r>
        <w:rPr>
          <w:rFonts w:hint="eastAsia" w:ascii="Times New Roman" w:hAnsi="Times New Roman" w:eastAsia="宋体" w:cs="黑体"/>
          <w:b/>
          <w:bCs/>
          <w:color w:val="2E75B6" w:themeColor="accent5" w:themeShade="BF"/>
          <w:sz w:val="24"/>
          <w:szCs w:val="24"/>
        </w:rPr>
        <w:t>强化管理，确保膳食安全</w:t>
      </w:r>
      <w:r>
        <w:rPr>
          <w:rFonts w:hint="eastAsia" w:ascii="Times New Roman" w:hAnsi="Times New Roman" w:eastAsia="宋体" w:cs="宋体"/>
          <w:color w:val="2E75B6" w:themeColor="accent5" w:themeShade="BF"/>
          <w:sz w:val="24"/>
          <w:szCs w:val="24"/>
        </w:rPr>
        <w:t>：</w:t>
      </w:r>
      <w:r>
        <w:rPr>
          <w:rFonts w:hint="eastAsia" w:ascii="Times New Roman" w:hAnsi="Times New Roman" w:eastAsia="宋体" w:cs="宋体"/>
          <w:sz w:val="24"/>
          <w:szCs w:val="24"/>
        </w:rPr>
        <w:t>将食堂管理制度上墙亮照，严把食品质量关，加强对食堂设施设备、食品库存保管、餐厨餐具消毒和摆放、食堂卫生环境等的日常管理，让员工能够吃上放心、卫生、绿色食品，确保膳食安全健康。</w:t>
      </w:r>
    </w:p>
    <w:p>
      <w:pPr>
        <w:numPr>
          <w:ilvl w:val="0"/>
          <w:numId w:val="19"/>
        </w:numPr>
        <w:spacing w:line="360" w:lineRule="auto"/>
        <w:rPr>
          <w:rFonts w:ascii="Times New Roman" w:hAnsi="Times New Roman" w:eastAsia="宋体" w:cs="宋体"/>
          <w:b/>
          <w:bCs/>
          <w:sz w:val="24"/>
          <w:szCs w:val="24"/>
        </w:rPr>
      </w:pPr>
      <w:r>
        <w:rPr>
          <w:rFonts w:hint="eastAsia" w:ascii="Times New Roman" w:hAnsi="Times New Roman" w:eastAsia="宋体" w:cs="黑体"/>
          <w:b/>
          <w:bCs/>
          <w:color w:val="2E75B6" w:themeColor="accent5" w:themeShade="BF"/>
          <w:sz w:val="24"/>
          <w:szCs w:val="24"/>
        </w:rPr>
        <w:t>节俭养德，开展“光盘行动”：</w:t>
      </w:r>
      <w:r>
        <w:rPr>
          <w:rFonts w:hint="eastAsia" w:ascii="Times New Roman" w:hAnsi="Times New Roman" w:eastAsia="宋体" w:cs="宋体"/>
          <w:sz w:val="24"/>
          <w:szCs w:val="24"/>
        </w:rPr>
        <w:t>在辖内食堂开展以“节俭养德从我做起”为主题的“光盘行动”，号召全体员工加入到行动中，积极成为行动的倡导者、践行者；灵活采用“建立用餐人员登记制”“小份菜”“半份菜”“少量多取”等措施，避免浪费；各位员工须提前点餐，用餐须结合自身食量取餐，杜绝倾倒和浪费食物的现象。</w:t>
      </w:r>
    </w:p>
    <w:p>
      <w:pPr>
        <w:numPr>
          <w:ilvl w:val="0"/>
          <w:numId w:val="19"/>
        </w:numPr>
        <w:spacing w:line="360" w:lineRule="auto"/>
        <w:rPr>
          <w:rFonts w:ascii="Times New Roman" w:hAnsi="Times New Roman" w:eastAsia="宋体"/>
        </w:rPr>
      </w:pPr>
      <w:r>
        <w:rPr>
          <w:rFonts w:hint="eastAsia" w:ascii="Times New Roman" w:hAnsi="Times New Roman" w:eastAsia="宋体" w:cs="黑体"/>
          <w:b/>
          <w:bCs/>
          <w:color w:val="2E75B6" w:themeColor="accent5" w:themeShade="BF"/>
          <w:sz w:val="24"/>
          <w:szCs w:val="24"/>
        </w:rPr>
        <w:t>强化宣传，营造节俭氛围</w:t>
      </w:r>
      <w:r>
        <w:rPr>
          <w:rFonts w:hint="eastAsia" w:ascii="Times New Roman" w:hAnsi="Times New Roman" w:eastAsia="宋体" w:cs="宋体"/>
          <w:color w:val="2E75B6" w:themeColor="accent5" w:themeShade="BF"/>
          <w:sz w:val="24"/>
          <w:szCs w:val="24"/>
        </w:rPr>
        <w:t>：</w:t>
      </w:r>
      <w:r>
        <w:rPr>
          <w:rFonts w:hint="eastAsia" w:ascii="Times New Roman" w:hAnsi="Times New Roman" w:eastAsia="宋体" w:cs="宋体"/>
          <w:sz w:val="24"/>
          <w:szCs w:val="24"/>
        </w:rPr>
        <w:t>利用职工大会和各类工作会议重点宣导习近平总书记近日对制止餐饮浪费行为作出的重要指示及“光盘行动”有关要求；统一制作“光盘行动”系列宣传海报，并分发至辖内各级食堂进行张贴，在全行倡导“爱惜粮食、懂得感恩”的理念，营造良好的节俭氛围。</w:t>
      </w:r>
    </w:p>
    <w:p>
      <w:pPr>
        <w:widowControl/>
        <w:numPr>
          <w:ilvl w:val="0"/>
          <w:numId w:val="17"/>
        </w:numPr>
        <w:spacing w:before="40" w:after="40" w:line="360" w:lineRule="auto"/>
        <w:rPr>
          <w:rFonts w:ascii="Times New Roman" w:hAnsi="Times New Roman" w:eastAsia="宋体" w:cs="黑体"/>
          <w:b/>
          <w:bCs/>
          <w:color w:val="2E75B6" w:themeColor="accent5" w:themeShade="BF"/>
          <w:kern w:val="0"/>
          <w:sz w:val="24"/>
          <w:szCs w:val="24"/>
        </w:rPr>
      </w:pPr>
      <w:r>
        <w:rPr>
          <w:rFonts w:hint="eastAsia" w:ascii="Times New Roman" w:hAnsi="Times New Roman" w:eastAsia="宋体" w:cs="黑体"/>
          <w:b/>
          <w:bCs/>
          <w:color w:val="2E75B6" w:themeColor="accent5" w:themeShade="BF"/>
          <w:kern w:val="0"/>
          <w:sz w:val="24"/>
          <w:szCs w:val="24"/>
          <w:lang w:eastAsia="zh-Hans"/>
        </w:rPr>
        <w:t>推行线上业务</w:t>
      </w:r>
    </w:p>
    <w:p>
      <w:pPr>
        <w:numPr>
          <w:ilvl w:val="0"/>
          <w:numId w:val="20"/>
        </w:numPr>
        <w:spacing w:line="360" w:lineRule="auto"/>
        <w:rPr>
          <w:rFonts w:ascii="Times New Roman" w:hAnsi="Times New Roman" w:eastAsia="宋体"/>
        </w:rPr>
      </w:pPr>
      <w:r>
        <w:rPr>
          <w:rFonts w:hint="eastAsia" w:ascii="Times New Roman" w:hAnsi="Times New Roman" w:eastAsia="宋体" w:cs="黑体"/>
          <w:b/>
          <w:bCs/>
          <w:color w:val="2E75B6" w:themeColor="accent5" w:themeShade="BF"/>
          <w:kern w:val="0"/>
          <w:sz w:val="24"/>
          <w:szCs w:val="24"/>
          <w:lang w:eastAsia="zh-Hans"/>
        </w:rPr>
        <w:t>加强</w:t>
      </w:r>
      <w:r>
        <w:rPr>
          <w:rFonts w:hint="eastAsia" w:ascii="Times New Roman" w:hAnsi="Times New Roman" w:eastAsia="宋体" w:cs="黑体"/>
          <w:b/>
          <w:bCs/>
          <w:color w:val="2E75B6" w:themeColor="accent5" w:themeShade="BF"/>
          <w:kern w:val="0"/>
          <w:sz w:val="24"/>
          <w:szCs w:val="24"/>
        </w:rPr>
        <w:t>节纸管理：</w:t>
      </w:r>
      <w:r>
        <w:rPr>
          <w:rFonts w:hint="eastAsia" w:ascii="Times New Roman" w:hAnsi="Times New Roman" w:eastAsia="宋体" w:cs="宋体"/>
          <w:kern w:val="0"/>
          <w:sz w:val="24"/>
          <w:szCs w:val="24"/>
        </w:rPr>
        <w:t>推进无纸化办公会议和协同办公系统。为有效减少会务办公用纸支出，本行自主研发无纸化会议系统，使用本行业务报表系统的分析报告发布功能，将相关议题进行发布，用户可通过</w:t>
      </w:r>
      <w:r>
        <w:rPr>
          <w:rFonts w:ascii="Times New Roman" w:hAnsi="Times New Roman" w:eastAsia="宋体" w:cs="宋体"/>
          <w:kern w:val="0"/>
          <w:sz w:val="24"/>
          <w:szCs w:val="24"/>
        </w:rPr>
        <w:t>PC</w:t>
      </w:r>
      <w:r>
        <w:rPr>
          <w:rFonts w:hint="eastAsia" w:ascii="Times New Roman" w:hAnsi="Times New Roman" w:eastAsia="宋体" w:cs="宋体"/>
          <w:kern w:val="0"/>
          <w:sz w:val="24"/>
          <w:szCs w:val="24"/>
        </w:rPr>
        <w:t>端、移动端浏览议题的内容；协同办公系统集成全行电子化办公流程。</w:t>
      </w:r>
    </w:p>
    <w:p>
      <w:pPr>
        <w:widowControl/>
        <w:numPr>
          <w:ilvl w:val="0"/>
          <w:numId w:val="20"/>
        </w:numPr>
        <w:spacing w:line="360" w:lineRule="auto"/>
        <w:rPr>
          <w:rFonts w:ascii="Times New Roman" w:hAnsi="Times New Roman" w:eastAsia="宋体" w:cs="黑体"/>
          <w:b/>
          <w:bCs/>
          <w:color w:val="385723" w:themeColor="accent6" w:themeShade="80"/>
          <w:kern w:val="0"/>
          <w:sz w:val="24"/>
          <w:szCs w:val="24"/>
        </w:rPr>
      </w:pPr>
      <w:r>
        <w:rPr>
          <w:rFonts w:hint="eastAsia" w:ascii="Times New Roman" w:hAnsi="Times New Roman" w:eastAsia="宋体" w:cs="黑体"/>
          <w:b/>
          <w:bCs/>
          <w:color w:val="2E75B6" w:themeColor="accent5" w:themeShade="BF"/>
          <w:kern w:val="0"/>
          <w:sz w:val="24"/>
          <w:szCs w:val="24"/>
          <w:lang w:eastAsia="zh-Hans"/>
        </w:rPr>
        <w:t>绿色</w:t>
      </w:r>
      <w:r>
        <w:rPr>
          <w:rFonts w:hint="eastAsia" w:ascii="Times New Roman" w:hAnsi="Times New Roman" w:eastAsia="宋体" w:cs="黑体"/>
          <w:b/>
          <w:bCs/>
          <w:color w:val="2E75B6" w:themeColor="accent5" w:themeShade="BF"/>
          <w:kern w:val="0"/>
          <w:sz w:val="24"/>
          <w:szCs w:val="24"/>
        </w:rPr>
        <w:t>服务流程：</w:t>
      </w:r>
      <w:r>
        <w:rPr>
          <w:rFonts w:hint="eastAsia" w:ascii="Times New Roman" w:hAnsi="Times New Roman" w:eastAsia="宋体" w:cs="宋体"/>
          <w:kern w:val="0"/>
          <w:sz w:val="24"/>
          <w:szCs w:val="24"/>
        </w:rPr>
        <w:t>本行自</w:t>
      </w:r>
      <w:r>
        <w:rPr>
          <w:rFonts w:ascii="Times New Roman" w:hAnsi="Times New Roman" w:eastAsia="宋体" w:cs="宋体"/>
          <w:kern w:val="0"/>
          <w:sz w:val="24"/>
          <w:szCs w:val="24"/>
        </w:rPr>
        <w:t>2019</w:t>
      </w:r>
      <w:r>
        <w:rPr>
          <w:rFonts w:hint="eastAsia" w:ascii="Times New Roman" w:hAnsi="Times New Roman" w:eastAsia="宋体" w:cs="宋体"/>
          <w:kern w:val="0"/>
          <w:sz w:val="24"/>
          <w:szCs w:val="24"/>
        </w:rPr>
        <w:t>年开始陆续上线智慧柜台、移动营销平台项目，在相关业务流程中嵌入了无纸化电子凭证、</w:t>
      </w:r>
      <w:r>
        <w:rPr>
          <w:rFonts w:ascii="Times New Roman" w:hAnsi="Times New Roman" w:eastAsia="宋体" w:cs="宋体"/>
          <w:kern w:val="0"/>
          <w:sz w:val="24"/>
          <w:szCs w:val="24"/>
        </w:rPr>
        <w:t>OCR</w:t>
      </w:r>
      <w:r>
        <w:rPr>
          <w:rFonts w:hint="eastAsia" w:ascii="Times New Roman" w:hAnsi="Times New Roman" w:eastAsia="宋体" w:cs="宋体"/>
          <w:kern w:val="0"/>
          <w:sz w:val="24"/>
          <w:szCs w:val="24"/>
        </w:rPr>
        <w:t>证照识别和影像采集等功能，将银行业务转移至智能设备渠道办理，实现业务办理真正不产生纸质凭证、不进行证照复印等低碳手段。</w:t>
      </w:r>
    </w:p>
    <w:p>
      <w:pPr>
        <w:widowControl/>
        <w:numPr>
          <w:ilvl w:val="0"/>
          <w:numId w:val="17"/>
        </w:numPr>
        <w:spacing w:before="40" w:after="40" w:line="360" w:lineRule="auto"/>
        <w:rPr>
          <w:rFonts w:ascii="Times New Roman" w:hAnsi="Times New Roman" w:eastAsia="宋体" w:cs="黑体"/>
          <w:b/>
          <w:bCs/>
          <w:color w:val="2E75B6" w:themeColor="accent5" w:themeShade="BF"/>
          <w:kern w:val="0"/>
          <w:sz w:val="24"/>
          <w:szCs w:val="24"/>
        </w:rPr>
      </w:pPr>
      <w:r>
        <w:rPr>
          <w:rFonts w:hint="eastAsia" w:ascii="Times New Roman" w:hAnsi="Times New Roman" w:eastAsia="宋体" w:cs="黑体"/>
          <w:b/>
          <w:bCs/>
          <w:color w:val="2E75B6" w:themeColor="accent5" w:themeShade="BF"/>
          <w:kern w:val="0"/>
          <w:sz w:val="24"/>
          <w:szCs w:val="24"/>
          <w:lang w:eastAsia="zh-Hans"/>
        </w:rPr>
        <w:t>办公活动</w:t>
      </w:r>
      <w:r>
        <w:rPr>
          <w:rFonts w:hint="eastAsia" w:ascii="Times New Roman" w:hAnsi="Times New Roman" w:eastAsia="宋体" w:cs="黑体"/>
          <w:b/>
          <w:bCs/>
          <w:color w:val="2E75B6" w:themeColor="accent5" w:themeShade="BF"/>
          <w:kern w:val="0"/>
          <w:sz w:val="24"/>
          <w:szCs w:val="24"/>
        </w:rPr>
        <w:t>管理</w:t>
      </w:r>
    </w:p>
    <w:p>
      <w:pPr>
        <w:widowControl/>
        <w:numPr>
          <w:ilvl w:val="0"/>
          <w:numId w:val="21"/>
        </w:numPr>
        <w:spacing w:line="360" w:lineRule="auto"/>
        <w:rPr>
          <w:rFonts w:ascii="Times New Roman" w:hAnsi="Times New Roman" w:eastAsia="宋体" w:cs="黑体"/>
          <w:b/>
          <w:bCs/>
          <w:color w:val="385723" w:themeColor="accent6" w:themeShade="80"/>
          <w:kern w:val="0"/>
          <w:sz w:val="24"/>
          <w:szCs w:val="24"/>
        </w:rPr>
      </w:pPr>
      <w:r>
        <w:rPr>
          <w:rFonts w:hint="eastAsia" w:ascii="Times New Roman" w:hAnsi="Times New Roman" w:eastAsia="宋体" w:cs="黑体"/>
          <w:b/>
          <w:bCs/>
          <w:color w:val="2E75B6" w:themeColor="accent5" w:themeShade="BF"/>
          <w:kern w:val="0"/>
          <w:sz w:val="24"/>
          <w:szCs w:val="24"/>
        </w:rPr>
        <w:t>办公设备管理：</w:t>
      </w:r>
      <w:r>
        <w:rPr>
          <w:rFonts w:hint="eastAsia" w:ascii="Times New Roman" w:hAnsi="Times New Roman" w:eastAsia="宋体" w:cs="宋体"/>
          <w:kern w:val="0"/>
          <w:sz w:val="24"/>
          <w:szCs w:val="24"/>
        </w:rPr>
        <w:t>本行倡导电脑、传真机、复印机等办公设备，开启省电模式功能，长时间不使用或下班后要关闭电源，减少办公设备待机能耗。</w:t>
      </w:r>
    </w:p>
    <w:p>
      <w:pPr>
        <w:widowControl/>
        <w:numPr>
          <w:ilvl w:val="0"/>
          <w:numId w:val="21"/>
        </w:numPr>
        <w:spacing w:line="360" w:lineRule="auto"/>
        <w:rPr>
          <w:rFonts w:ascii="Times New Roman" w:hAnsi="Times New Roman" w:eastAsia="宋体" w:cs="黑体"/>
          <w:b/>
          <w:bCs/>
          <w:color w:val="385723" w:themeColor="accent6" w:themeShade="80"/>
          <w:kern w:val="0"/>
          <w:sz w:val="24"/>
          <w:szCs w:val="24"/>
        </w:rPr>
      </w:pPr>
      <w:r>
        <w:rPr>
          <w:rFonts w:hint="eastAsia" w:ascii="Times New Roman" w:hAnsi="Times New Roman" w:eastAsia="宋体" w:cs="黑体"/>
          <w:b/>
          <w:bCs/>
          <w:color w:val="2E75B6" w:themeColor="accent5" w:themeShade="BF"/>
          <w:kern w:val="0"/>
          <w:sz w:val="24"/>
          <w:szCs w:val="24"/>
        </w:rPr>
        <w:t>办公用品管理：</w:t>
      </w:r>
      <w:r>
        <w:rPr>
          <w:rFonts w:hint="eastAsia" w:ascii="Times New Roman" w:hAnsi="Times New Roman" w:eastAsia="宋体" w:cs="宋体"/>
          <w:kern w:val="0"/>
          <w:sz w:val="24"/>
          <w:szCs w:val="24"/>
        </w:rPr>
        <w:t>本行提倡合理使用办公用品，各部门需节约并有计划地使用办公用品，严格遵守办公用品领用程序。</w:t>
      </w:r>
    </w:p>
    <w:p>
      <w:pPr>
        <w:widowControl/>
        <w:numPr>
          <w:ilvl w:val="0"/>
          <w:numId w:val="17"/>
        </w:numPr>
        <w:spacing w:before="40" w:after="40" w:line="360" w:lineRule="auto"/>
        <w:rPr>
          <w:rFonts w:ascii="Times New Roman" w:hAnsi="Times New Roman" w:eastAsia="宋体" w:cs="黑体"/>
          <w:b/>
          <w:bCs/>
          <w:color w:val="2E75B6" w:themeColor="accent5" w:themeShade="BF"/>
          <w:kern w:val="0"/>
          <w:sz w:val="24"/>
          <w:szCs w:val="24"/>
        </w:rPr>
      </w:pPr>
      <w:r>
        <w:rPr>
          <w:rFonts w:hint="eastAsia" w:ascii="Times New Roman" w:hAnsi="Times New Roman" w:eastAsia="宋体" w:cs="黑体"/>
          <w:b/>
          <w:bCs/>
          <w:color w:val="2E75B6" w:themeColor="accent5" w:themeShade="BF"/>
          <w:kern w:val="0"/>
          <w:sz w:val="24"/>
          <w:szCs w:val="24"/>
        </w:rPr>
        <w:t>设备采购管理</w:t>
      </w:r>
    </w:p>
    <w:p>
      <w:pPr>
        <w:widowControl/>
        <w:numPr>
          <w:ilvl w:val="0"/>
          <w:numId w:val="22"/>
        </w:numPr>
        <w:spacing w:line="360" w:lineRule="auto"/>
        <w:rPr>
          <w:rFonts w:ascii="Times New Roman" w:hAnsi="Times New Roman" w:eastAsia="宋体"/>
          <w:b/>
          <w:bCs/>
          <w:color w:val="00B050"/>
          <w:kern w:val="0"/>
          <w:sz w:val="24"/>
          <w:szCs w:val="24"/>
        </w:rPr>
      </w:pPr>
      <w:r>
        <w:rPr>
          <w:rFonts w:hint="eastAsia" w:ascii="Times New Roman" w:hAnsi="Times New Roman" w:eastAsia="宋体" w:cs="黑体"/>
          <w:b/>
          <w:bCs/>
          <w:color w:val="2E75B6" w:themeColor="accent5" w:themeShade="BF"/>
          <w:kern w:val="0"/>
          <w:sz w:val="24"/>
          <w:szCs w:val="24"/>
        </w:rPr>
        <w:t>绿色采购</w:t>
      </w:r>
      <w:r>
        <w:rPr>
          <w:rFonts w:hint="eastAsia" w:ascii="Times New Roman" w:hAnsi="Times New Roman" w:eastAsia="宋体" w:cs="黑体"/>
          <w:b/>
          <w:bCs/>
          <w:color w:val="385723" w:themeColor="accent6" w:themeShade="80"/>
          <w:kern w:val="0"/>
          <w:sz w:val="24"/>
          <w:szCs w:val="24"/>
        </w:rPr>
        <w:t>：</w:t>
      </w:r>
      <w:r>
        <w:rPr>
          <w:rFonts w:hint="eastAsia" w:ascii="Times New Roman" w:hAnsi="Times New Roman" w:eastAsia="宋体" w:cs="宋体"/>
          <w:kern w:val="0"/>
          <w:sz w:val="24"/>
          <w:szCs w:val="24"/>
        </w:rPr>
        <w:t>本行加大对环保产品和设备的采购力度，减少设备能耗。</w:t>
      </w:r>
    </w:p>
    <w:p>
      <w:pPr>
        <w:widowControl/>
        <w:numPr>
          <w:ilvl w:val="0"/>
          <w:numId w:val="22"/>
        </w:numPr>
        <w:spacing w:line="360" w:lineRule="auto"/>
        <w:rPr>
          <w:rFonts w:ascii="Times New Roman" w:hAnsi="Times New Roman" w:eastAsia="宋体" w:cs="宋体"/>
          <w:kern w:val="0"/>
          <w:sz w:val="24"/>
          <w:szCs w:val="24"/>
        </w:rPr>
      </w:pPr>
      <w:r>
        <w:rPr>
          <w:rFonts w:hint="eastAsia" w:ascii="Times New Roman" w:hAnsi="Times New Roman" w:eastAsia="宋体" w:cs="黑体"/>
          <w:b/>
          <w:bCs/>
          <w:color w:val="2E75B6" w:themeColor="accent5" w:themeShade="BF"/>
          <w:kern w:val="0"/>
          <w:sz w:val="24"/>
          <w:szCs w:val="24"/>
        </w:rPr>
        <w:t>线上采购：</w:t>
      </w:r>
      <w:r>
        <w:rPr>
          <w:rFonts w:hint="eastAsia" w:ascii="Times New Roman" w:hAnsi="Times New Roman" w:eastAsia="宋体" w:cs="宋体"/>
          <w:kern w:val="0"/>
          <w:sz w:val="24"/>
          <w:szCs w:val="24"/>
        </w:rPr>
        <w:t>本行逐步提升线上采购占比，减少实地采购过程中产生的边际资源消耗。</w:t>
      </w:r>
    </w:p>
    <w:p>
      <w:pPr>
        <w:widowControl/>
        <w:numPr>
          <w:ilvl w:val="0"/>
          <w:numId w:val="23"/>
        </w:numPr>
        <w:spacing w:line="360" w:lineRule="auto"/>
        <w:rPr>
          <w:rFonts w:ascii="Times New Roman" w:hAnsi="Times New Roman" w:eastAsia="宋体"/>
          <w:b/>
          <w:color w:val="2E75B6" w:themeColor="accent5" w:themeShade="BF"/>
          <w:sz w:val="24"/>
          <w:szCs w:val="24"/>
          <w:lang w:eastAsia="zh-Hans"/>
        </w:rPr>
      </w:pPr>
      <w:r>
        <w:rPr>
          <w:rFonts w:ascii="Times New Roman" w:hAnsi="Times New Roman" w:eastAsia="宋体"/>
          <w:b/>
          <w:color w:val="2E75B6" w:themeColor="accent5" w:themeShade="BF"/>
          <w:kern w:val="0"/>
          <w:sz w:val="24"/>
          <w:szCs w:val="24"/>
          <w:lang w:eastAsia="zh-Hans"/>
        </w:rPr>
        <w:t>积极投身绿色公益</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本行践行“绿水青山就是金山银山”的绿色发展理念，倡导低碳生活，绿色出行的环保意识，积极组织全行志愿者开展多项公益活动，深入扎根当地，强化社会服务，近年来通过开展“绿色健康行，快乐在进行”捡垃圾公益环保活动、“保护环境，从我做起”江门人才岛潮头公园志愿服务活动、陈垣故居志愿清洁活动、助力创建全国文明城市清洁扫街活动等，为当地人民带来整洁、文明的城市和乡村、美丽的公园景点，并用实际行动倡导大家树立环保理念，做到人人爱护环境、保护环境。</w:t>
      </w:r>
    </w:p>
    <w:p>
      <w:pPr>
        <w:pStyle w:val="5"/>
        <w:keepNext w:val="0"/>
        <w:keepLines w:val="0"/>
        <w:numPr>
          <w:ilvl w:val="0"/>
          <w:numId w:val="12"/>
        </w:numPr>
        <w:spacing w:line="360" w:lineRule="auto"/>
        <w:jc w:val="both"/>
        <w:rPr>
          <w:rFonts w:cstheme="minorBidi"/>
          <w:bCs w:val="0"/>
          <w:color w:val="2E75B6" w:themeColor="accent5" w:themeShade="BF"/>
        </w:rPr>
      </w:pPr>
      <w:bookmarkStart w:id="253" w:name="_Toc10479"/>
      <w:r>
        <w:rPr>
          <w:rFonts w:hint="eastAsia" w:cstheme="minorBidi"/>
          <w:bCs w:val="0"/>
          <w:color w:val="2E75B6" w:themeColor="accent5" w:themeShade="BF"/>
        </w:rPr>
        <w:t>经营活动环境影响的统计口径和测算方法学</w:t>
      </w:r>
      <w:bookmarkEnd w:id="253"/>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详见附录2</w:t>
      </w:r>
      <w:r>
        <w:rPr>
          <w:rFonts w:ascii="Times New Roman" w:hAnsi="Times New Roman" w:eastAsia="宋体" w:cs="宋体"/>
          <w:sz w:val="24"/>
          <w:szCs w:val="24"/>
        </w:rPr>
        <w:t>.2</w:t>
      </w:r>
      <w:r>
        <w:rPr>
          <w:rFonts w:hint="eastAsia" w:ascii="Times New Roman" w:hAnsi="Times New Roman" w:eastAsia="宋体" w:cs="宋体"/>
          <w:sz w:val="24"/>
          <w:szCs w:val="24"/>
        </w:rPr>
        <w:t>。</w:t>
      </w:r>
    </w:p>
    <w:p>
      <w:pPr>
        <w:pStyle w:val="4"/>
        <w:spacing w:line="360" w:lineRule="auto"/>
        <w:rPr>
          <w:color w:val="2E75B6" w:themeColor="accent5" w:themeShade="BF"/>
        </w:rPr>
      </w:pPr>
      <w:bookmarkStart w:id="254" w:name="_Toc15871"/>
      <w:bookmarkStart w:id="255" w:name="_Toc113969341"/>
      <w:bookmarkStart w:id="256" w:name="_Toc2852"/>
      <w:bookmarkStart w:id="257" w:name="_Toc26225"/>
      <w:bookmarkStart w:id="258" w:name="_Toc26022"/>
      <w:bookmarkStart w:id="259" w:name="_Toc9614"/>
      <w:bookmarkStart w:id="260" w:name="_Toc7004"/>
      <w:bookmarkStart w:id="261" w:name="_Toc6964"/>
      <w:r>
        <w:rPr>
          <w:rFonts w:hint="eastAsia"/>
          <w:color w:val="2E75B6" w:themeColor="accent5" w:themeShade="BF"/>
        </w:rPr>
        <w:t>第九部分 数据梳理、校验及保护</w:t>
      </w:r>
      <w:bookmarkEnd w:id="254"/>
      <w:bookmarkEnd w:id="255"/>
      <w:bookmarkEnd w:id="256"/>
      <w:bookmarkEnd w:id="257"/>
      <w:bookmarkEnd w:id="258"/>
      <w:bookmarkEnd w:id="259"/>
      <w:bookmarkEnd w:id="260"/>
      <w:bookmarkEnd w:id="261"/>
      <w:bookmarkStart w:id="262" w:name="_Toc20067"/>
    </w:p>
    <w:p>
      <w:pPr>
        <w:rPr>
          <w:rFonts w:ascii="Times New Roman" w:hAnsi="Times New Roman"/>
        </w:rPr>
      </w:pPr>
    </w:p>
    <w:p>
      <w:pPr>
        <w:pStyle w:val="5"/>
        <w:keepNext w:val="0"/>
        <w:keepLines w:val="0"/>
        <w:numPr>
          <w:ilvl w:val="0"/>
          <w:numId w:val="24"/>
        </w:numPr>
        <w:spacing w:line="360" w:lineRule="auto"/>
        <w:jc w:val="both"/>
        <w:rPr>
          <w:rFonts w:cstheme="minorBidi"/>
          <w:bCs w:val="0"/>
          <w:color w:val="2E75B6" w:themeColor="accent5" w:themeShade="BF"/>
        </w:rPr>
      </w:pPr>
      <w:bookmarkStart w:id="263" w:name="_Toc14215"/>
      <w:r>
        <w:rPr>
          <w:rFonts w:hint="eastAsia" w:cstheme="minorBidi"/>
          <w:bCs w:val="0"/>
          <w:color w:val="2E75B6" w:themeColor="accent5" w:themeShade="BF"/>
        </w:rPr>
        <w:t>定期数据梳理和校验</w:t>
      </w:r>
      <w:bookmarkEnd w:id="263"/>
    </w:p>
    <w:p>
      <w:pPr>
        <w:spacing w:line="360" w:lineRule="auto"/>
        <w:ind w:firstLine="480" w:firstLineChars="200"/>
        <w:rPr>
          <w:rFonts w:ascii="Times New Roman" w:hAnsi="Times New Roman" w:eastAsia="宋体" w:cs="宋体"/>
          <w:sz w:val="24"/>
          <w:szCs w:val="24"/>
          <w:lang w:bidi="ar"/>
        </w:rPr>
      </w:pPr>
      <w:r>
        <w:rPr>
          <w:rFonts w:hint="eastAsia" w:ascii="Times New Roman" w:hAnsi="Times New Roman" w:eastAsia="宋体" w:cs="宋体"/>
          <w:sz w:val="24"/>
          <w:szCs w:val="24"/>
          <w:lang w:bidi="ar"/>
        </w:rPr>
        <w:t>本</w:t>
      </w:r>
      <w:r>
        <w:rPr>
          <w:rFonts w:ascii="Times New Roman" w:hAnsi="Times New Roman" w:eastAsia="宋体" w:cs="宋体"/>
          <w:sz w:val="24"/>
          <w:szCs w:val="24"/>
          <w:lang w:bidi="ar"/>
        </w:rPr>
        <w:t>行</w:t>
      </w:r>
      <w:r>
        <w:rPr>
          <w:rFonts w:hint="eastAsia" w:ascii="Times New Roman" w:hAnsi="Times New Roman" w:eastAsia="宋体" w:cs="宋体"/>
          <w:sz w:val="24"/>
          <w:szCs w:val="24"/>
          <w:lang w:bidi="ar"/>
        </w:rPr>
        <w:t>严格按照监管机构对绿色信贷统计的要求，执行绿色信贷数据统计工作，规范绿色信贷数据监测，</w:t>
      </w:r>
      <w:r>
        <w:rPr>
          <w:rFonts w:ascii="Times New Roman" w:hAnsi="Times New Roman" w:eastAsia="宋体" w:cs="宋体"/>
          <w:sz w:val="24"/>
          <w:szCs w:val="24"/>
          <w:lang w:bidi="ar"/>
        </w:rPr>
        <w:t>每季度</w:t>
      </w:r>
      <w:r>
        <w:rPr>
          <w:rFonts w:hint="eastAsia" w:ascii="Times New Roman" w:hAnsi="Times New Roman" w:eastAsia="宋体" w:cs="宋体"/>
          <w:sz w:val="24"/>
          <w:szCs w:val="24"/>
          <w:lang w:bidi="ar"/>
        </w:rPr>
        <w:t>开展</w:t>
      </w:r>
      <w:r>
        <w:rPr>
          <w:rFonts w:ascii="Times New Roman" w:hAnsi="Times New Roman" w:eastAsia="宋体" w:cs="宋体"/>
          <w:sz w:val="24"/>
          <w:szCs w:val="24"/>
          <w:lang w:bidi="ar"/>
        </w:rPr>
        <w:t>绿色信贷业务</w:t>
      </w:r>
      <w:r>
        <w:rPr>
          <w:rFonts w:hint="eastAsia" w:ascii="Times New Roman" w:hAnsi="Times New Roman" w:eastAsia="宋体" w:cs="宋体"/>
          <w:sz w:val="24"/>
          <w:szCs w:val="24"/>
          <w:lang w:bidi="ar"/>
        </w:rPr>
        <w:t>自查并将形成自</w:t>
      </w:r>
      <w:r>
        <w:rPr>
          <w:rFonts w:ascii="Times New Roman" w:hAnsi="Times New Roman" w:eastAsia="宋体" w:cs="宋体"/>
          <w:sz w:val="24"/>
          <w:szCs w:val="24"/>
          <w:lang w:bidi="ar"/>
        </w:rPr>
        <w:t>查报告报送至当地人民银行</w:t>
      </w:r>
      <w:r>
        <w:rPr>
          <w:rFonts w:hint="eastAsia" w:ascii="Times New Roman" w:hAnsi="Times New Roman" w:eastAsia="宋体" w:cs="宋体"/>
          <w:sz w:val="24"/>
          <w:szCs w:val="24"/>
          <w:lang w:bidi="ar"/>
        </w:rPr>
        <w:t>。同时，本行在省联社的工作指导下，上线使用省联社信贷管理系统，实现绿色信贷全流程的标识和记录，做到</w:t>
      </w:r>
      <w:r>
        <w:rPr>
          <w:rFonts w:ascii="Times New Roman" w:hAnsi="Times New Roman" w:eastAsia="宋体" w:cs="宋体"/>
          <w:sz w:val="24"/>
          <w:szCs w:val="24"/>
          <w:lang w:bidi="ar"/>
        </w:rPr>
        <w:t>数据及记录过程可核查、可追溯。</w:t>
      </w:r>
    </w:p>
    <w:bookmarkEnd w:id="262"/>
    <w:p>
      <w:pPr>
        <w:pStyle w:val="5"/>
        <w:keepNext w:val="0"/>
        <w:keepLines w:val="0"/>
        <w:numPr>
          <w:ilvl w:val="0"/>
          <w:numId w:val="24"/>
        </w:numPr>
        <w:spacing w:line="360" w:lineRule="auto"/>
        <w:jc w:val="both"/>
        <w:rPr>
          <w:rFonts w:cstheme="minorBidi"/>
          <w:bCs w:val="0"/>
          <w:color w:val="2E75B6" w:themeColor="accent5" w:themeShade="BF"/>
        </w:rPr>
      </w:pPr>
      <w:bookmarkStart w:id="264" w:name="_Toc134445794"/>
      <w:bookmarkEnd w:id="264"/>
      <w:bookmarkStart w:id="265" w:name="_Toc134445795"/>
      <w:bookmarkEnd w:id="265"/>
      <w:bookmarkStart w:id="266" w:name="_Toc134445873"/>
      <w:bookmarkEnd w:id="266"/>
      <w:bookmarkStart w:id="267" w:name="_Toc134445793"/>
      <w:bookmarkEnd w:id="267"/>
      <w:bookmarkStart w:id="268" w:name="_Toc134445796"/>
      <w:bookmarkEnd w:id="268"/>
      <w:bookmarkStart w:id="269" w:name="_Toc134445870"/>
      <w:bookmarkEnd w:id="269"/>
      <w:bookmarkStart w:id="270" w:name="_Toc134445871"/>
      <w:bookmarkEnd w:id="270"/>
      <w:bookmarkStart w:id="271" w:name="_Toc134445872"/>
      <w:bookmarkEnd w:id="271"/>
      <w:bookmarkStart w:id="272" w:name="_Toc17110"/>
      <w:r>
        <w:rPr>
          <w:rFonts w:hint="eastAsia" w:cstheme="minorBidi"/>
          <w:bCs w:val="0"/>
          <w:color w:val="2E75B6" w:themeColor="accent5" w:themeShade="BF"/>
        </w:rPr>
        <w:t>保障数据安全和数据主体权益</w:t>
      </w:r>
      <w:bookmarkEnd w:id="272"/>
    </w:p>
    <w:p>
      <w:pPr>
        <w:pStyle w:val="6"/>
        <w:spacing w:line="360" w:lineRule="auto"/>
        <w:jc w:val="both"/>
        <w:rPr>
          <w:bCs w:val="0"/>
          <w:color w:val="2E75B6" w:themeColor="accent5" w:themeShade="BF"/>
        </w:rPr>
      </w:pPr>
      <w:r>
        <w:rPr>
          <w:rFonts w:hint="eastAsia"/>
          <w:bCs w:val="0"/>
          <w:color w:val="2E75B6" w:themeColor="accent5" w:themeShade="BF"/>
        </w:rPr>
        <w:t>（一）优化组织架构</w:t>
      </w:r>
    </w:p>
    <w:p>
      <w:pPr>
        <w:spacing w:line="360" w:lineRule="auto"/>
        <w:ind w:firstLine="480" w:firstLineChars="200"/>
        <w:rPr>
          <w:rFonts w:ascii="Times New Roman" w:hAnsi="Times New Roman" w:eastAsia="宋体" w:cs="宋体"/>
          <w:sz w:val="24"/>
          <w:szCs w:val="24"/>
          <w:lang w:bidi="ar"/>
        </w:rPr>
      </w:pPr>
      <w:r>
        <w:rPr>
          <w:rFonts w:hint="eastAsia" w:ascii="Times New Roman" w:hAnsi="Times New Roman" w:eastAsia="宋体" w:cs="宋体"/>
          <w:sz w:val="24"/>
          <w:szCs w:val="24"/>
          <w:lang w:bidi="ar"/>
        </w:rPr>
        <w:t>为有效推进数据治理工作，优化数据治理的组织架构，本行指定数字银行部为数据治理工作的专职部门，自上而下形成董事会、监事会、高级管理层、信息科技（产品创新）管理委员会、数字银行部为归口管理部门、总行其它职能部门为本条线主管部门、经营单位组成的数据治理组织架构，各组织部门之间互相衔接并按照“各尽其职、相互配合”的原则履行数据治理职责。</w:t>
      </w:r>
    </w:p>
    <w:p>
      <w:pPr>
        <w:pStyle w:val="6"/>
        <w:spacing w:line="360" w:lineRule="auto"/>
        <w:jc w:val="both"/>
        <w:rPr>
          <w:bCs w:val="0"/>
          <w:color w:val="2E75B6" w:themeColor="accent5" w:themeShade="BF"/>
        </w:rPr>
      </w:pPr>
      <w:r>
        <w:rPr>
          <w:rFonts w:hint="eastAsia"/>
          <w:bCs w:val="0"/>
          <w:color w:val="2E75B6" w:themeColor="accent5" w:themeShade="BF"/>
        </w:rPr>
        <w:t>（二）强化数据治理</w:t>
      </w:r>
    </w:p>
    <w:p>
      <w:pPr>
        <w:spacing w:line="360" w:lineRule="auto"/>
        <w:ind w:firstLine="420"/>
        <w:rPr>
          <w:rFonts w:ascii="Times New Roman" w:hAnsi="Times New Roman" w:eastAsia="宋体" w:cs="宋体"/>
          <w:position w:val="-1"/>
          <w:sz w:val="24"/>
          <w:highlight w:val="none"/>
          <w:lang w:bidi="ar"/>
        </w:rPr>
      </w:pPr>
      <w:r>
        <w:rPr>
          <w:rFonts w:hint="eastAsia" w:ascii="Times New Roman" w:hAnsi="Times New Roman" w:eastAsia="宋体" w:cs="宋体"/>
          <w:position w:val="-1"/>
          <w:sz w:val="24"/>
          <w:lang w:bidi="ar"/>
        </w:rPr>
        <w:t>为确保在全行范围内有效开展数据治理工作，持续提升数据质量，本行制</w:t>
      </w:r>
      <w:r>
        <w:rPr>
          <w:rFonts w:hint="eastAsia" w:ascii="Times New Roman" w:hAnsi="Times New Roman" w:eastAsia="宋体" w:cs="宋体"/>
          <w:position w:val="-1"/>
          <w:sz w:val="24"/>
          <w:highlight w:val="none"/>
          <w:lang w:bidi="ar"/>
        </w:rPr>
        <w:t>定《江门农村商业银行股份有限公司数据治理管理办法》</w:t>
      </w:r>
      <w:r>
        <w:rPr>
          <w:rFonts w:ascii="Times New Roman" w:hAnsi="Times New Roman" w:eastAsia="宋体" w:cs="宋体"/>
          <w:position w:val="-1"/>
          <w:sz w:val="24"/>
          <w:highlight w:val="none"/>
          <w:lang w:bidi="ar"/>
        </w:rPr>
        <w:t>、</w:t>
      </w:r>
      <w:r>
        <w:rPr>
          <w:rFonts w:hint="eastAsia" w:ascii="Times New Roman" w:hAnsi="Times New Roman" w:eastAsia="宋体" w:cs="宋体"/>
          <w:position w:val="-1"/>
          <w:sz w:val="24"/>
          <w:highlight w:val="none"/>
          <w:lang w:bidi="ar"/>
        </w:rPr>
        <w:t>《江门农村商业银行股份有限公司信息系统数据查询管理办法》等管理办法，对本行数据标准、数据质量、数据安全、数据提取使用方面建立了相应的管理规范。</w:t>
      </w:r>
    </w:p>
    <w:p>
      <w:pPr>
        <w:pStyle w:val="6"/>
        <w:spacing w:line="360" w:lineRule="auto"/>
        <w:jc w:val="both"/>
        <w:rPr>
          <w:bCs w:val="0"/>
          <w:color w:val="2E75B6" w:themeColor="accent5" w:themeShade="BF"/>
          <w:highlight w:val="none"/>
        </w:rPr>
      </w:pPr>
      <w:r>
        <w:rPr>
          <w:rFonts w:hint="eastAsia"/>
          <w:bCs w:val="0"/>
          <w:color w:val="2E75B6" w:themeColor="accent5" w:themeShade="BF"/>
          <w:highlight w:val="none"/>
        </w:rPr>
        <w:t>（</w:t>
      </w:r>
      <w:r>
        <w:rPr>
          <w:rFonts w:hint="eastAsia"/>
          <w:bCs w:val="0"/>
          <w:color w:val="2E75B6" w:themeColor="accent5" w:themeShade="BF"/>
          <w:highlight w:val="none"/>
          <w:lang w:val="en-US" w:eastAsia="zh-CN"/>
        </w:rPr>
        <w:t>三</w:t>
      </w:r>
      <w:r>
        <w:rPr>
          <w:rFonts w:hint="eastAsia"/>
          <w:bCs w:val="0"/>
          <w:color w:val="2E75B6" w:themeColor="accent5" w:themeShade="BF"/>
          <w:highlight w:val="none"/>
        </w:rPr>
        <w:t>）注重隐私保护</w:t>
      </w:r>
    </w:p>
    <w:p>
      <w:pPr>
        <w:spacing w:line="360" w:lineRule="auto"/>
        <w:ind w:firstLine="480" w:firstLineChars="200"/>
        <w:rPr>
          <w:rFonts w:ascii="Times New Roman" w:hAnsi="Times New Roman" w:eastAsia="宋体" w:cs="宋体"/>
          <w:position w:val="-1"/>
          <w:sz w:val="24"/>
          <w:lang w:bidi="ar"/>
        </w:rPr>
      </w:pPr>
      <w:r>
        <w:rPr>
          <w:rFonts w:hint="eastAsia" w:ascii="Times New Roman" w:hAnsi="Times New Roman" w:eastAsia="宋体" w:cs="宋体"/>
          <w:position w:val="-1"/>
          <w:sz w:val="24"/>
          <w:highlight w:val="none"/>
          <w:lang w:bidi="ar"/>
        </w:rPr>
        <w:t>为依法保护客户隐私，保证行内数据安全，本行制定《江门农村商业银行股份有限公司信息安全管理办法》《江门农村商业银行股份有限公司信息数据分级保护和安全管理办法》和《</w:t>
      </w:r>
      <w:r>
        <w:rPr>
          <w:rFonts w:hint="eastAsia" w:ascii="Times New Roman" w:hAnsi="Times New Roman" w:eastAsia="宋体" w:cs="宋体"/>
          <w:position w:val="-1"/>
          <w:sz w:val="24"/>
          <w:lang w:bidi="ar"/>
        </w:rPr>
        <w:t>江门农村商业银行股份有限公司客户信息分类及分级管理办法》等制度，明确规定信息数据的分级标准、安全、备份与恢复策略以及备份介质的存放管理与销毁。通过网络隔离、堡垒机、终端管控等物理手段实行严格的管控措施，并且建立了数据脱敏系统和文件防泄密系统，保证数据安全。</w:t>
      </w:r>
    </w:p>
    <w:p>
      <w:pPr>
        <w:pStyle w:val="5"/>
        <w:keepNext w:val="0"/>
        <w:keepLines w:val="0"/>
        <w:numPr>
          <w:ilvl w:val="0"/>
          <w:numId w:val="24"/>
        </w:numPr>
        <w:spacing w:line="360" w:lineRule="auto"/>
        <w:jc w:val="both"/>
        <w:rPr>
          <w:rFonts w:cstheme="minorBidi"/>
          <w:bCs w:val="0"/>
          <w:color w:val="2E75B6" w:themeColor="accent5" w:themeShade="BF"/>
        </w:rPr>
      </w:pPr>
      <w:bookmarkStart w:id="273" w:name="_Toc134445801"/>
      <w:bookmarkEnd w:id="273"/>
      <w:bookmarkStart w:id="274" w:name="_Toc134445878"/>
      <w:bookmarkEnd w:id="274"/>
      <w:bookmarkStart w:id="275" w:name="_Toc134445802"/>
      <w:bookmarkEnd w:id="275"/>
      <w:bookmarkStart w:id="276" w:name="_Toc134445879"/>
      <w:bookmarkEnd w:id="276"/>
      <w:bookmarkStart w:id="277" w:name="_Toc134445803"/>
      <w:bookmarkEnd w:id="277"/>
      <w:bookmarkStart w:id="278" w:name="_Toc134445880"/>
      <w:bookmarkEnd w:id="278"/>
      <w:bookmarkStart w:id="279" w:name="_Toc134445804"/>
      <w:bookmarkEnd w:id="279"/>
      <w:bookmarkStart w:id="280" w:name="_Toc134445881"/>
      <w:bookmarkEnd w:id="280"/>
      <w:bookmarkStart w:id="281" w:name="_Toc22185"/>
      <w:bookmarkStart w:id="282" w:name="_Toc28077"/>
      <w:bookmarkStart w:id="283" w:name="_Toc25961"/>
      <w:bookmarkStart w:id="284" w:name="_Toc13722"/>
      <w:bookmarkStart w:id="285" w:name="_Toc20096"/>
      <w:bookmarkStart w:id="286" w:name="_Toc7353"/>
      <w:bookmarkStart w:id="287" w:name="_Toc4866"/>
      <w:r>
        <w:rPr>
          <w:rFonts w:hint="eastAsia" w:cstheme="minorBidi"/>
          <w:bCs w:val="0"/>
          <w:color w:val="2E75B6" w:themeColor="accent5" w:themeShade="BF"/>
        </w:rPr>
        <w:t>建立</w:t>
      </w:r>
      <w:bookmarkEnd w:id="281"/>
      <w:bookmarkEnd w:id="282"/>
      <w:bookmarkEnd w:id="283"/>
      <w:bookmarkEnd w:id="284"/>
      <w:bookmarkEnd w:id="285"/>
      <w:bookmarkEnd w:id="286"/>
      <w:r>
        <w:rPr>
          <w:rFonts w:hint="eastAsia" w:cstheme="minorBidi"/>
          <w:bCs w:val="0"/>
          <w:color w:val="2E75B6" w:themeColor="accent5" w:themeShade="BF"/>
        </w:rPr>
        <w:t>数据安全事件（事故）应急处理预案</w:t>
      </w:r>
      <w:bookmarkEnd w:id="287"/>
    </w:p>
    <w:p>
      <w:pPr>
        <w:pStyle w:val="2"/>
        <w:spacing w:line="360" w:lineRule="auto"/>
        <w:ind w:left="0" w:leftChars="0" w:firstLineChars="0"/>
        <w:rPr>
          <w:rFonts w:hint="default" w:ascii="Times New Roman" w:hAnsi="Times New Roman" w:eastAsia="宋体" w:cs="宋体"/>
          <w:sz w:val="24"/>
          <w:szCs w:val="24"/>
        </w:rPr>
      </w:pPr>
      <w:bookmarkStart w:id="288" w:name="_Toc29095"/>
      <w:r>
        <w:rPr>
          <w:rFonts w:ascii="Times New Roman" w:hAnsi="Times New Roman" w:eastAsia="宋体" w:cs="宋体"/>
          <w:sz w:val="24"/>
          <w:szCs w:val="24"/>
        </w:rPr>
        <w:t>本行制定《江门农村商业银行股份有限公司数据应急预案》和《江门农村商业银行股份有限公司信息安全保障及重要信息系统应急预案》，规范行内数据和重要信息系统突发事件的应急处理流程。本行设立应急领导组、应急管理办公室和应急处理小组，各层级机构各司其职，保证在系统服务异常以及危急等情景下数据的完整性、准确性和连续性，不断提升数据应急处置能力。</w:t>
      </w:r>
    </w:p>
    <w:p>
      <w:pPr>
        <w:pStyle w:val="2"/>
        <w:spacing w:line="360" w:lineRule="auto"/>
        <w:rPr>
          <w:rFonts w:hint="default" w:ascii="Times New Roman" w:hAnsi="Times New Roman" w:eastAsia="宋体" w:cs="宋体"/>
        </w:rPr>
      </w:pPr>
      <w:r>
        <w:rPr>
          <w:rFonts w:hint="default"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130175</wp:posOffset>
                </wp:positionV>
                <wp:extent cx="5204460" cy="2094230"/>
                <wp:effectExtent l="0" t="0" r="0" b="0"/>
                <wp:wrapTopAndBottom/>
                <wp:docPr id="62" name="组合 863" descr="KSO_WM_TAG_VERSION=1.0&amp;KSO_WM_BEAUTIFY_FLAG=#wm#&amp;KSO_WM_UNIT_TYPE=i&amp;KSO_WM_UNIT_ID=wpsdiag20161027_3*i*1&amp;KSO_WM_TEMPLATE_CATEGORY=wpsdiag&amp;KSO_WM_TEMPLATE_INDEX=20161027"/>
                <wp:cNvGraphicFramePr/>
                <a:graphic xmlns:a="http://schemas.openxmlformats.org/drawingml/2006/main">
                  <a:graphicData uri="http://schemas.microsoft.com/office/word/2010/wordprocessingGroup">
                    <wpg:wgp>
                      <wpg:cNvGrpSpPr/>
                      <wpg:grpSpPr>
                        <a:xfrm>
                          <a:off x="0" y="0"/>
                          <a:ext cx="5204460" cy="2094490"/>
                          <a:chOff x="0" y="2095"/>
                          <a:chExt cx="51728" cy="20816"/>
                        </a:xfrm>
                      </wpg:grpSpPr>
                      <wps:wsp>
                        <wps:cNvPr id="33" name="直接连接符 83" descr="KSO_WM_UNIT_INDEX=1_1&amp;KSO_WM_UNIT_TYPE=n_i&amp;KSO_WM_UNIT_ID=wpsdiag20161027_3*n_i*1_1&amp;KSO_WM_UNIT_LAYERLEVEL=1_1&amp;KSO_WM_UNIT_CLEAR=1&amp;KSO_WM_TAG_VERSION=1.0&amp;KSO_WM_BEAUTIFY_FLAG=#wm#&amp;KSO_WM_TEMPLATE_CATEGORY=wpsdiag&amp;KSO_WM_TEMPLATE_INDEX=20161027&amp;KSO_WM_SLIDE_ITEM_CNT=3&amp;KSO_WM_DIAGRAM_GROUP_CODE=n1_1&amp;KSO_WM_UNIT_LINE_FORE_SCHEMECOLOR_INDEX=7&amp;KSO_WM_UNIT_LINE_BACK_SCHEMECOLOR_INDEX=0&amp;KSO_WM_UNIT_LINE_FILL_TYPE=1"/>
                        <wps:cNvCnPr/>
                        <wps:spPr>
                          <a:xfrm>
                            <a:off x="25400" y="8636"/>
                            <a:ext cx="0" cy="6248"/>
                          </a:xfrm>
                          <a:prstGeom prst="line">
                            <a:avLst/>
                          </a:prstGeom>
                          <a:ln w="6350" cap="flat" cmpd="sng">
                            <a:solidFill>
                              <a:srgbClr val="000000"/>
                            </a:solidFill>
                            <a:prstDash val="dash"/>
                            <a:miter/>
                            <a:headEnd type="none" w="med" len="med"/>
                            <a:tailEnd type="none" w="med" len="med"/>
                          </a:ln>
                        </wps:spPr>
                        <wps:bodyPr/>
                      </wps:wsp>
                      <wps:wsp>
                        <wps:cNvPr id="34" name="椭圆 84" descr="KSO_WM_UNIT_INDEX=1_2&amp;KSO_WM_UNIT_TYPE=n_i&amp;KSO_WM_UNIT_ID=wpsdiag20161027_3*n_i*1_2&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wps:cNvSpPr/>
                        <wps:spPr>
                          <a:xfrm>
                            <a:off x="26479" y="2603"/>
                            <a:ext cx="5645" cy="5512"/>
                          </a:xfrm>
                          <a:prstGeom prst="ellipse">
                            <a:avLst/>
                          </a:prstGeom>
                          <a:solidFill>
                            <a:srgbClr val="303030">
                              <a:alpha val="50195"/>
                            </a:srgbClr>
                          </a:solidFill>
                          <a:ln w="12700">
                            <a:noFill/>
                          </a:ln>
                        </wps:spPr>
                        <wps:bodyPr anchor="ctr" anchorCtr="0" upright="1"/>
                      </wps:wsp>
                      <wps:wsp>
                        <wps:cNvPr id="35" name="椭圆 85" descr="KSO_WM_UNIT_INDEX=1_3&amp;KSO_WM_UNIT_TYPE=n_i&amp;KSO_WM_UNIT_ID=wpsdiag20161027_3*n_i*1_3&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wps:cNvSpPr/>
                        <wps:spPr>
                          <a:xfrm>
                            <a:off x="18605" y="2603"/>
                            <a:ext cx="5645" cy="5512"/>
                          </a:xfrm>
                          <a:prstGeom prst="ellipse">
                            <a:avLst/>
                          </a:prstGeom>
                          <a:solidFill>
                            <a:srgbClr val="303030">
                              <a:alpha val="50195"/>
                            </a:srgbClr>
                          </a:solidFill>
                          <a:ln w="12700">
                            <a:noFill/>
                          </a:ln>
                        </wps:spPr>
                        <wps:bodyPr anchor="ctr" anchorCtr="0" upright="1"/>
                      </wps:wsp>
                      <wps:wsp>
                        <wps:cNvPr id="36" name="椭圆 86" descr="KSO_WM_UNIT_INDEX=1_4&amp;KSO_WM_UNIT_TYPE=n_i&amp;KSO_WM_UNIT_ID=wpsdiag20161027_3*n_i*1_4&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wps:cNvSpPr/>
                        <wps:spPr>
                          <a:xfrm>
                            <a:off x="14097" y="2603"/>
                            <a:ext cx="5645" cy="5512"/>
                          </a:xfrm>
                          <a:prstGeom prst="ellipse">
                            <a:avLst/>
                          </a:prstGeom>
                          <a:solidFill>
                            <a:srgbClr val="9DC3E6"/>
                          </a:solidFill>
                          <a:ln w="12700">
                            <a:noFill/>
                          </a:ln>
                        </wps:spPr>
                        <wps:bodyPr anchor="ctr" anchorCtr="0" upright="1"/>
                      </wps:wsp>
                      <wps:wsp>
                        <wps:cNvPr id="37" name="椭圆 87" descr="KSO_WM_UNIT_INDEX=1_5&amp;KSO_WM_UNIT_TYPE=n_i&amp;KSO_WM_UNIT_ID=wpsdiag20161027_3*n_i*1_5&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wps:cNvSpPr/>
                        <wps:spPr>
                          <a:xfrm>
                            <a:off x="30797" y="2603"/>
                            <a:ext cx="5645" cy="5512"/>
                          </a:xfrm>
                          <a:prstGeom prst="ellipse">
                            <a:avLst/>
                          </a:prstGeom>
                          <a:solidFill>
                            <a:srgbClr val="9DC3E6"/>
                          </a:solidFill>
                          <a:ln w="12700">
                            <a:noFill/>
                          </a:ln>
                        </wps:spPr>
                        <wps:bodyPr anchor="ctr" anchorCtr="0" upright="1"/>
                      </wps:wsp>
                      <wps:wsp>
                        <wps:cNvPr id="38" name="椭圆 88" descr="KSO_WM_UNIT_INDEX=1_6&amp;KSO_WM_UNIT_TYPE=n_i&amp;KSO_WM_UNIT_ID=wpsdiag20161027_3*n_i*1_6&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wps:cNvSpPr/>
                        <wps:spPr>
                          <a:xfrm>
                            <a:off x="9779" y="2603"/>
                            <a:ext cx="5645" cy="5512"/>
                          </a:xfrm>
                          <a:prstGeom prst="ellipse">
                            <a:avLst/>
                          </a:prstGeom>
                          <a:solidFill>
                            <a:srgbClr val="D9D9D9">
                              <a:alpha val="39999"/>
                            </a:srgbClr>
                          </a:solidFill>
                          <a:ln w="12700">
                            <a:noFill/>
                          </a:ln>
                        </wps:spPr>
                        <wps:bodyPr anchor="ctr" anchorCtr="0" upright="1"/>
                      </wps:wsp>
                      <wps:wsp>
                        <wps:cNvPr id="39" name="椭圆 89" descr="KSO_WM_UNIT_INDEX=1_7&amp;KSO_WM_UNIT_TYPE=n_i&amp;KSO_WM_UNIT_ID=wpsdiag20161027_3*n_i*1_7&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wps:cNvSpPr/>
                        <wps:spPr>
                          <a:xfrm>
                            <a:off x="35306" y="2603"/>
                            <a:ext cx="5645" cy="5512"/>
                          </a:xfrm>
                          <a:prstGeom prst="ellipse">
                            <a:avLst/>
                          </a:prstGeom>
                          <a:solidFill>
                            <a:srgbClr val="D9D9D9">
                              <a:alpha val="39999"/>
                            </a:srgbClr>
                          </a:solidFill>
                          <a:ln w="12700">
                            <a:noFill/>
                          </a:ln>
                        </wps:spPr>
                        <wps:bodyPr anchor="ctr" anchorCtr="0" upright="1"/>
                      </wps:wsp>
                      <wpg:grpSp>
                        <wpg:cNvPr id="43" name="组合 90"/>
                        <wpg:cNvGrpSpPr/>
                        <wpg:grpSpPr>
                          <a:xfrm>
                            <a:off x="25781" y="7302"/>
                            <a:ext cx="18402" cy="7976"/>
                            <a:chOff x="21292" y="4039"/>
                            <a:chExt cx="11295" cy="15001"/>
                          </a:xfrm>
                        </wpg:grpSpPr>
                        <wps:wsp>
                          <wps:cNvPr id="40" name="直接连接符 91" descr="KSO_WM_UNIT_INDEX=1_8&amp;KSO_WM_UNIT_TYPE=n_i&amp;KSO_WM_UNIT_ID=wpsdiag20161027_3*n_i*1_8&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wps:cNvCnPr/>
                          <wps:spPr>
                            <a:xfrm>
                              <a:off x="21292" y="4039"/>
                              <a:ext cx="0" cy="5858"/>
                            </a:xfrm>
                            <a:prstGeom prst="line">
                              <a:avLst/>
                            </a:prstGeom>
                            <a:ln w="6350" cap="flat" cmpd="sng">
                              <a:solidFill>
                                <a:srgbClr val="000000"/>
                              </a:solidFill>
                              <a:prstDash val="dash"/>
                              <a:miter/>
                              <a:headEnd type="none" w="med" len="med"/>
                              <a:tailEnd type="none" w="med" len="med"/>
                            </a:ln>
                          </wps:spPr>
                          <wps:bodyPr/>
                        </wps:wsp>
                        <wps:wsp>
                          <wps:cNvPr id="41" name="直接连接符 92" descr="KSO_WM_UNIT_INDEX=1_9&amp;KSO_WM_UNIT_TYPE=n_i&amp;KSO_WM_UNIT_ID=wpsdiag20161027_3*n_i*1_9&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wps:cNvCnPr/>
                          <wps:spPr>
                            <a:xfrm>
                              <a:off x="21292" y="9897"/>
                              <a:ext cx="11296" cy="0"/>
                            </a:xfrm>
                            <a:prstGeom prst="line">
                              <a:avLst/>
                            </a:prstGeom>
                            <a:ln w="6350" cap="flat" cmpd="sng">
                              <a:solidFill>
                                <a:srgbClr val="000000"/>
                              </a:solidFill>
                              <a:prstDash val="dash"/>
                              <a:miter/>
                              <a:headEnd type="none" w="med" len="med"/>
                              <a:tailEnd type="none" w="med" len="med"/>
                            </a:ln>
                          </wps:spPr>
                          <wps:bodyPr/>
                        </wps:wsp>
                        <wps:wsp>
                          <wps:cNvPr id="42" name="直接连接符 93" descr="KSO_WM_UNIT_INDEX=1_10&amp;KSO_WM_UNIT_TYPE=n_i&amp;KSO_WM_UNIT_ID=wpsdiag20161027_3*n_i*1_10&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wps:cNvCnPr/>
                          <wps:spPr>
                            <a:xfrm flipH="1">
                              <a:off x="32554" y="9897"/>
                              <a:ext cx="0" cy="9144"/>
                            </a:xfrm>
                            <a:prstGeom prst="line">
                              <a:avLst/>
                            </a:prstGeom>
                            <a:ln w="6350" cap="flat" cmpd="sng">
                              <a:solidFill>
                                <a:srgbClr val="000000"/>
                              </a:solidFill>
                              <a:prstDash val="dash"/>
                              <a:miter/>
                              <a:headEnd type="none" w="med" len="med"/>
                              <a:tailEnd type="none" w="med" len="med"/>
                            </a:ln>
                          </wps:spPr>
                          <wps:bodyPr/>
                        </wps:wsp>
                      </wpg:grpSp>
                      <wpg:grpSp>
                        <wpg:cNvPr id="47" name="组合 94"/>
                        <wpg:cNvGrpSpPr/>
                        <wpg:grpSpPr>
                          <a:xfrm flipH="1">
                            <a:off x="6858" y="7493"/>
                            <a:ext cx="18161" cy="7429"/>
                            <a:chOff x="5136" y="4138"/>
                            <a:chExt cx="11295" cy="15001"/>
                          </a:xfrm>
                        </wpg:grpSpPr>
                        <wps:wsp>
                          <wps:cNvPr id="44" name="直接连接符 95" descr="KSO_WM_UNIT_INDEX=1_11&amp;KSO_WM_UNIT_TYPE=n_i&amp;KSO_WM_UNIT_ID=wpsdiag20161027_3*n_i*1_11&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wps:cNvCnPr/>
                          <wps:spPr>
                            <a:xfrm>
                              <a:off x="5136" y="4138"/>
                              <a:ext cx="0" cy="5858"/>
                            </a:xfrm>
                            <a:prstGeom prst="line">
                              <a:avLst/>
                            </a:prstGeom>
                            <a:ln w="6350" cap="flat" cmpd="sng">
                              <a:solidFill>
                                <a:srgbClr val="000000"/>
                              </a:solidFill>
                              <a:prstDash val="dash"/>
                              <a:miter/>
                              <a:headEnd type="none" w="med" len="med"/>
                              <a:tailEnd type="none" w="med" len="med"/>
                            </a:ln>
                          </wps:spPr>
                          <wps:bodyPr/>
                        </wps:wsp>
                        <wps:wsp>
                          <wps:cNvPr id="45" name="直接连接符 96" descr="KSO_WM_UNIT_INDEX=1_12&amp;KSO_WM_UNIT_TYPE=n_i&amp;KSO_WM_UNIT_ID=wpsdiag20161027_3*n_i*1_12&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wps:cNvCnPr/>
                          <wps:spPr>
                            <a:xfrm>
                              <a:off x="5136" y="9996"/>
                              <a:ext cx="11296" cy="0"/>
                            </a:xfrm>
                            <a:prstGeom prst="line">
                              <a:avLst/>
                            </a:prstGeom>
                            <a:ln w="6350" cap="flat" cmpd="sng">
                              <a:solidFill>
                                <a:srgbClr val="000000"/>
                              </a:solidFill>
                              <a:prstDash val="dash"/>
                              <a:miter/>
                              <a:headEnd type="none" w="med" len="med"/>
                              <a:tailEnd type="none" w="med" len="med"/>
                            </a:ln>
                          </wps:spPr>
                          <wps:bodyPr/>
                        </wps:wsp>
                        <wps:wsp>
                          <wps:cNvPr id="46" name="直接连接符 97" descr="KSO_WM_UNIT_INDEX=1_13&amp;KSO_WM_UNIT_TYPE=n_i&amp;KSO_WM_UNIT_ID=wpsdiag20161027_3*n_i*1_13&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wps:cNvCnPr/>
                          <wps:spPr>
                            <a:xfrm flipH="1">
                              <a:off x="16398" y="9996"/>
                              <a:ext cx="0" cy="9144"/>
                            </a:xfrm>
                            <a:prstGeom prst="line">
                              <a:avLst/>
                            </a:prstGeom>
                            <a:ln w="6350" cap="flat" cmpd="sng">
                              <a:solidFill>
                                <a:srgbClr val="000000"/>
                              </a:solidFill>
                              <a:prstDash val="dash"/>
                              <a:miter/>
                              <a:headEnd type="none" w="med" len="med"/>
                              <a:tailEnd type="none" w="med" len="med"/>
                            </a:ln>
                          </wps:spPr>
                          <wps:bodyPr/>
                        </wps:wsp>
                      </wpg:grpSp>
                      <wps:wsp>
                        <wps:cNvPr id="48" name="椭圆 98" descr="KSO_WM_UNIT_INDEX=1_14&amp;KSO_WM_UNIT_TYPE=n_i&amp;KSO_WM_UNIT_ID=wpsdiag20161027_3*n_i*1_14&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wps:cNvSpPr/>
                        <wps:spPr>
                          <a:xfrm>
                            <a:off x="22161" y="2095"/>
                            <a:ext cx="6483" cy="6560"/>
                          </a:xfrm>
                          <a:prstGeom prst="ellipse">
                            <a:avLst/>
                          </a:prstGeom>
                          <a:solidFill>
                            <a:srgbClr val="2E75B6"/>
                          </a:solidFill>
                          <a:ln w="12700">
                            <a:noFill/>
                          </a:ln>
                        </wps:spPr>
                        <wps:bodyPr anchor="ctr" anchorCtr="0" upright="1"/>
                      </wps:wsp>
                      <wps:wsp>
                        <wps:cNvPr id="49" name="KSO_Shape" descr="KSO_WM_UNIT_INDEX=1_15&amp;KSO_WM_UNIT_TYPE=n_i&amp;KSO_WM_UNIT_ID=wpsdiag20161027_3*n_i*1_15&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wps:cNvSpPr/>
                        <wps:spPr>
                          <a:xfrm>
                            <a:off x="23177" y="3683"/>
                            <a:ext cx="4604" cy="3390"/>
                          </a:xfrm>
                          <a:custGeom>
                            <a:avLst/>
                            <a:gdLst/>
                            <a:ahLst/>
                            <a:cxnLst/>
                            <a:rect l="0" t="0" r="0" b="0"/>
                            <a:pathLst>
                              <a:path w="4999037" h="4260141">
                                <a:moveTo>
                                  <a:pt x="1900345" y="3557911"/>
                                </a:moveTo>
                                <a:lnTo>
                                  <a:pt x="3097730" y="3557911"/>
                                </a:lnTo>
                                <a:lnTo>
                                  <a:pt x="3102535" y="3590573"/>
                                </a:lnTo>
                                <a:lnTo>
                                  <a:pt x="3107340" y="3623235"/>
                                </a:lnTo>
                                <a:lnTo>
                                  <a:pt x="3113106" y="3656858"/>
                                </a:lnTo>
                                <a:lnTo>
                                  <a:pt x="3119833" y="3691441"/>
                                </a:lnTo>
                                <a:lnTo>
                                  <a:pt x="3126560" y="3717378"/>
                                </a:lnTo>
                                <a:lnTo>
                                  <a:pt x="3134248" y="3744276"/>
                                </a:lnTo>
                                <a:lnTo>
                                  <a:pt x="3140975" y="3769253"/>
                                </a:lnTo>
                                <a:lnTo>
                                  <a:pt x="3148663" y="3795190"/>
                                </a:lnTo>
                                <a:lnTo>
                                  <a:pt x="3158272" y="3821127"/>
                                </a:lnTo>
                                <a:lnTo>
                                  <a:pt x="3166921" y="3846104"/>
                                </a:lnTo>
                                <a:lnTo>
                                  <a:pt x="3177492" y="3871081"/>
                                </a:lnTo>
                                <a:lnTo>
                                  <a:pt x="3189024" y="3895097"/>
                                </a:lnTo>
                                <a:lnTo>
                                  <a:pt x="3200556" y="3919113"/>
                                </a:lnTo>
                                <a:lnTo>
                                  <a:pt x="3213048" y="3941208"/>
                                </a:lnTo>
                                <a:lnTo>
                                  <a:pt x="3226502" y="3964263"/>
                                </a:lnTo>
                                <a:lnTo>
                                  <a:pt x="3240917" y="3984437"/>
                                </a:lnTo>
                                <a:lnTo>
                                  <a:pt x="3256293" y="4004610"/>
                                </a:lnTo>
                                <a:lnTo>
                                  <a:pt x="3271668" y="4024784"/>
                                </a:lnTo>
                                <a:lnTo>
                                  <a:pt x="3288966" y="4042075"/>
                                </a:lnTo>
                                <a:lnTo>
                                  <a:pt x="3306264" y="4058406"/>
                                </a:lnTo>
                                <a:lnTo>
                                  <a:pt x="3318757" y="4069934"/>
                                </a:lnTo>
                                <a:lnTo>
                                  <a:pt x="3331249" y="4079540"/>
                                </a:lnTo>
                                <a:lnTo>
                                  <a:pt x="3344703" y="4089147"/>
                                </a:lnTo>
                                <a:lnTo>
                                  <a:pt x="3358157" y="4097793"/>
                                </a:lnTo>
                                <a:lnTo>
                                  <a:pt x="3372572" y="4106438"/>
                                </a:lnTo>
                                <a:lnTo>
                                  <a:pt x="3386026" y="4114123"/>
                                </a:lnTo>
                                <a:lnTo>
                                  <a:pt x="3402362" y="4121809"/>
                                </a:lnTo>
                                <a:lnTo>
                                  <a:pt x="3417738" y="4127573"/>
                                </a:lnTo>
                                <a:lnTo>
                                  <a:pt x="3433114" y="4133336"/>
                                </a:lnTo>
                                <a:lnTo>
                                  <a:pt x="3450411" y="4138140"/>
                                </a:lnTo>
                                <a:lnTo>
                                  <a:pt x="3467709" y="4142943"/>
                                </a:lnTo>
                                <a:lnTo>
                                  <a:pt x="3485007" y="4145825"/>
                                </a:lnTo>
                                <a:lnTo>
                                  <a:pt x="3504227" y="4148707"/>
                                </a:lnTo>
                                <a:lnTo>
                                  <a:pt x="3523446" y="4151589"/>
                                </a:lnTo>
                                <a:lnTo>
                                  <a:pt x="3543627" y="4152549"/>
                                </a:lnTo>
                                <a:lnTo>
                                  <a:pt x="3564769" y="4152549"/>
                                </a:lnTo>
                                <a:lnTo>
                                  <a:pt x="3564769" y="4260141"/>
                                </a:lnTo>
                                <a:lnTo>
                                  <a:pt x="1434268" y="4260141"/>
                                </a:lnTo>
                                <a:lnTo>
                                  <a:pt x="1434268" y="4152549"/>
                                </a:lnTo>
                                <a:lnTo>
                                  <a:pt x="1455409" y="4152549"/>
                                </a:lnTo>
                                <a:lnTo>
                                  <a:pt x="1474629" y="4151589"/>
                                </a:lnTo>
                                <a:lnTo>
                                  <a:pt x="1493849" y="4148707"/>
                                </a:lnTo>
                                <a:lnTo>
                                  <a:pt x="1513068" y="4145825"/>
                                </a:lnTo>
                                <a:lnTo>
                                  <a:pt x="1530366" y="4142943"/>
                                </a:lnTo>
                                <a:lnTo>
                                  <a:pt x="1547664" y="4138140"/>
                                </a:lnTo>
                                <a:lnTo>
                                  <a:pt x="1564962" y="4133336"/>
                                </a:lnTo>
                                <a:lnTo>
                                  <a:pt x="1581298" y="4127573"/>
                                </a:lnTo>
                                <a:lnTo>
                                  <a:pt x="1596674" y="4121809"/>
                                </a:lnTo>
                                <a:lnTo>
                                  <a:pt x="1612050" y="4114123"/>
                                </a:lnTo>
                                <a:lnTo>
                                  <a:pt x="1626465" y="4106438"/>
                                </a:lnTo>
                                <a:lnTo>
                                  <a:pt x="1639918" y="4097793"/>
                                </a:lnTo>
                                <a:lnTo>
                                  <a:pt x="1653372" y="4089147"/>
                                </a:lnTo>
                                <a:lnTo>
                                  <a:pt x="1666826" y="4079540"/>
                                </a:lnTo>
                                <a:lnTo>
                                  <a:pt x="1679319" y="4069934"/>
                                </a:lnTo>
                                <a:lnTo>
                                  <a:pt x="1691811" y="4058406"/>
                                </a:lnTo>
                                <a:lnTo>
                                  <a:pt x="1703343" y="4047839"/>
                                </a:lnTo>
                                <a:lnTo>
                                  <a:pt x="1715836" y="4036311"/>
                                </a:lnTo>
                                <a:lnTo>
                                  <a:pt x="1726407" y="4024784"/>
                                </a:lnTo>
                                <a:lnTo>
                                  <a:pt x="1736978" y="4012295"/>
                                </a:lnTo>
                                <a:lnTo>
                                  <a:pt x="1757158" y="3985397"/>
                                </a:lnTo>
                                <a:lnTo>
                                  <a:pt x="1776378" y="3956578"/>
                                </a:lnTo>
                                <a:lnTo>
                                  <a:pt x="1793676" y="3926798"/>
                                </a:lnTo>
                                <a:lnTo>
                                  <a:pt x="1809052" y="3895097"/>
                                </a:lnTo>
                                <a:lnTo>
                                  <a:pt x="1824427" y="3863396"/>
                                </a:lnTo>
                                <a:lnTo>
                                  <a:pt x="1837881" y="3829773"/>
                                </a:lnTo>
                                <a:lnTo>
                                  <a:pt x="1849413" y="3795190"/>
                                </a:lnTo>
                                <a:lnTo>
                                  <a:pt x="1859984" y="3761568"/>
                                </a:lnTo>
                                <a:lnTo>
                                  <a:pt x="1868632" y="3726984"/>
                                </a:lnTo>
                                <a:lnTo>
                                  <a:pt x="1878242" y="3692401"/>
                                </a:lnTo>
                                <a:lnTo>
                                  <a:pt x="1884969" y="3657818"/>
                                </a:lnTo>
                                <a:lnTo>
                                  <a:pt x="1890735" y="3623235"/>
                                </a:lnTo>
                                <a:lnTo>
                                  <a:pt x="1896501" y="3590573"/>
                                </a:lnTo>
                                <a:lnTo>
                                  <a:pt x="1900345" y="3557911"/>
                                </a:lnTo>
                                <a:close/>
                                <a:moveTo>
                                  <a:pt x="344993" y="345832"/>
                                </a:moveTo>
                                <a:lnTo>
                                  <a:pt x="344993" y="3036592"/>
                                </a:lnTo>
                                <a:lnTo>
                                  <a:pt x="4655005" y="3036592"/>
                                </a:lnTo>
                                <a:lnTo>
                                  <a:pt x="4655005" y="345832"/>
                                </a:lnTo>
                                <a:lnTo>
                                  <a:pt x="344993" y="345832"/>
                                </a:lnTo>
                                <a:close/>
                                <a:moveTo>
                                  <a:pt x="142226" y="0"/>
                                </a:moveTo>
                                <a:lnTo>
                                  <a:pt x="4857773" y="0"/>
                                </a:lnTo>
                                <a:lnTo>
                                  <a:pt x="4872187" y="961"/>
                                </a:lnTo>
                                <a:lnTo>
                                  <a:pt x="4885641" y="2882"/>
                                </a:lnTo>
                                <a:lnTo>
                                  <a:pt x="4899095" y="6725"/>
                                </a:lnTo>
                                <a:lnTo>
                                  <a:pt x="4913510" y="10567"/>
                                </a:lnTo>
                                <a:lnTo>
                                  <a:pt x="4925042" y="17292"/>
                                </a:lnTo>
                                <a:lnTo>
                                  <a:pt x="4936573" y="24016"/>
                                </a:lnTo>
                                <a:lnTo>
                                  <a:pt x="4947144" y="32662"/>
                                </a:lnTo>
                                <a:lnTo>
                                  <a:pt x="4957715" y="42268"/>
                                </a:lnTo>
                                <a:lnTo>
                                  <a:pt x="4967325" y="51875"/>
                                </a:lnTo>
                                <a:lnTo>
                                  <a:pt x="4975974" y="62442"/>
                                </a:lnTo>
                                <a:lnTo>
                                  <a:pt x="4982701" y="73970"/>
                                </a:lnTo>
                                <a:lnTo>
                                  <a:pt x="4988466" y="87419"/>
                                </a:lnTo>
                                <a:lnTo>
                                  <a:pt x="4993271" y="99907"/>
                                </a:lnTo>
                                <a:lnTo>
                                  <a:pt x="4996154" y="113356"/>
                                </a:lnTo>
                                <a:lnTo>
                                  <a:pt x="4999037" y="127766"/>
                                </a:lnTo>
                                <a:lnTo>
                                  <a:pt x="4999037" y="142175"/>
                                </a:lnTo>
                                <a:lnTo>
                                  <a:pt x="4999037" y="3238327"/>
                                </a:lnTo>
                                <a:lnTo>
                                  <a:pt x="4999037" y="3253697"/>
                                </a:lnTo>
                                <a:lnTo>
                                  <a:pt x="4996154" y="3268106"/>
                                </a:lnTo>
                                <a:lnTo>
                                  <a:pt x="4993271" y="3281555"/>
                                </a:lnTo>
                                <a:lnTo>
                                  <a:pt x="4988466" y="3295004"/>
                                </a:lnTo>
                                <a:lnTo>
                                  <a:pt x="4982701" y="3307493"/>
                                </a:lnTo>
                                <a:lnTo>
                                  <a:pt x="4975974" y="3319021"/>
                                </a:lnTo>
                                <a:lnTo>
                                  <a:pt x="4967325" y="3329588"/>
                                </a:lnTo>
                                <a:lnTo>
                                  <a:pt x="4957715" y="3339194"/>
                                </a:lnTo>
                                <a:lnTo>
                                  <a:pt x="4947144" y="3349761"/>
                                </a:lnTo>
                                <a:lnTo>
                                  <a:pt x="4936573" y="3357446"/>
                                </a:lnTo>
                                <a:lnTo>
                                  <a:pt x="4925042" y="3364171"/>
                                </a:lnTo>
                                <a:lnTo>
                                  <a:pt x="4913510" y="3369935"/>
                                </a:lnTo>
                                <a:lnTo>
                                  <a:pt x="4899095" y="3374738"/>
                                </a:lnTo>
                                <a:lnTo>
                                  <a:pt x="4885641" y="3378580"/>
                                </a:lnTo>
                                <a:lnTo>
                                  <a:pt x="4872187" y="3380502"/>
                                </a:lnTo>
                                <a:lnTo>
                                  <a:pt x="4857773" y="3381462"/>
                                </a:lnTo>
                                <a:lnTo>
                                  <a:pt x="142226" y="3381462"/>
                                </a:lnTo>
                                <a:lnTo>
                                  <a:pt x="127811" y="3380502"/>
                                </a:lnTo>
                                <a:lnTo>
                                  <a:pt x="113396" y="3378580"/>
                                </a:lnTo>
                                <a:lnTo>
                                  <a:pt x="99942" y="3374738"/>
                                </a:lnTo>
                                <a:lnTo>
                                  <a:pt x="86489" y="3369935"/>
                                </a:lnTo>
                                <a:lnTo>
                                  <a:pt x="73996" y="3364171"/>
                                </a:lnTo>
                                <a:lnTo>
                                  <a:pt x="62464" y="3357446"/>
                                </a:lnTo>
                                <a:lnTo>
                                  <a:pt x="51893" y="3349761"/>
                                </a:lnTo>
                                <a:lnTo>
                                  <a:pt x="42283" y="3339194"/>
                                </a:lnTo>
                                <a:lnTo>
                                  <a:pt x="31713" y="3329588"/>
                                </a:lnTo>
                                <a:lnTo>
                                  <a:pt x="24025" y="3319021"/>
                                </a:lnTo>
                                <a:lnTo>
                                  <a:pt x="17298" y="3307493"/>
                                </a:lnTo>
                                <a:lnTo>
                                  <a:pt x="11532" y="3295004"/>
                                </a:lnTo>
                                <a:lnTo>
                                  <a:pt x="6727" y="3281555"/>
                                </a:lnTo>
                                <a:lnTo>
                                  <a:pt x="2883" y="3268106"/>
                                </a:lnTo>
                                <a:lnTo>
                                  <a:pt x="961" y="3253697"/>
                                </a:lnTo>
                                <a:lnTo>
                                  <a:pt x="0" y="3238327"/>
                                </a:lnTo>
                                <a:lnTo>
                                  <a:pt x="0" y="142175"/>
                                </a:lnTo>
                                <a:lnTo>
                                  <a:pt x="961" y="127766"/>
                                </a:lnTo>
                                <a:lnTo>
                                  <a:pt x="2883" y="113356"/>
                                </a:lnTo>
                                <a:lnTo>
                                  <a:pt x="6727" y="99907"/>
                                </a:lnTo>
                                <a:lnTo>
                                  <a:pt x="11532" y="87419"/>
                                </a:lnTo>
                                <a:lnTo>
                                  <a:pt x="17298" y="73970"/>
                                </a:lnTo>
                                <a:lnTo>
                                  <a:pt x="24025" y="62442"/>
                                </a:lnTo>
                                <a:lnTo>
                                  <a:pt x="31713" y="51875"/>
                                </a:lnTo>
                                <a:lnTo>
                                  <a:pt x="42283" y="42268"/>
                                </a:lnTo>
                                <a:lnTo>
                                  <a:pt x="51893" y="32662"/>
                                </a:lnTo>
                                <a:lnTo>
                                  <a:pt x="62464" y="24016"/>
                                </a:lnTo>
                                <a:lnTo>
                                  <a:pt x="73996" y="17292"/>
                                </a:lnTo>
                                <a:lnTo>
                                  <a:pt x="86489" y="10567"/>
                                </a:lnTo>
                                <a:lnTo>
                                  <a:pt x="99942" y="6725"/>
                                </a:lnTo>
                                <a:lnTo>
                                  <a:pt x="113396" y="2882"/>
                                </a:lnTo>
                                <a:lnTo>
                                  <a:pt x="127811" y="961"/>
                                </a:lnTo>
                                <a:lnTo>
                                  <a:pt x="142226" y="0"/>
                                </a:lnTo>
                                <a:close/>
                              </a:path>
                            </a:pathLst>
                          </a:custGeom>
                          <a:solidFill>
                            <a:srgbClr val="FFFFFF"/>
                          </a:solidFill>
                          <a:ln>
                            <a:noFill/>
                          </a:ln>
                        </wps:spPr>
                        <wps:bodyPr anchor="ctr" anchorCtr="0" upright="1"/>
                      </wps:wsp>
                      <wps:wsp>
                        <wps:cNvPr id="50" name="椭圆 100" descr="KSO_WM_UNIT_INDEX=1_16&amp;KSO_WM_UNIT_TYPE=n_i&amp;KSO_WM_UNIT_ID=wpsdiag20161027_3*n_i*1_16&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wps:cNvSpPr/>
                        <wps:spPr>
                          <a:xfrm>
                            <a:off x="42227" y="14414"/>
                            <a:ext cx="3620" cy="3480"/>
                          </a:xfrm>
                          <a:prstGeom prst="ellipse">
                            <a:avLst/>
                          </a:prstGeom>
                          <a:solidFill>
                            <a:srgbClr val="DEEBF7"/>
                          </a:solidFill>
                          <a:ln w="12700">
                            <a:noFill/>
                          </a:ln>
                        </wps:spPr>
                        <wps:bodyPr anchor="ctr" anchorCtr="0" upright="1"/>
                      </wps:wsp>
                      <wps:wsp>
                        <wps:cNvPr id="51" name="椭圆 101" descr="KSO_WM_UNIT_INDEX=1_17&amp;KSO_WM_UNIT_TYPE=n_i&amp;KSO_WM_UNIT_ID=wpsdiag20161027_3*n_i*1_17&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wps:cNvSpPr/>
                        <wps:spPr>
                          <a:xfrm>
                            <a:off x="23558" y="14414"/>
                            <a:ext cx="3620" cy="3480"/>
                          </a:xfrm>
                          <a:prstGeom prst="ellipse">
                            <a:avLst/>
                          </a:prstGeom>
                          <a:solidFill>
                            <a:srgbClr val="DEEBF7"/>
                          </a:solidFill>
                          <a:ln w="12700">
                            <a:noFill/>
                          </a:ln>
                        </wps:spPr>
                        <wps:bodyPr anchor="ctr" anchorCtr="0" upright="1"/>
                      </wps:wsp>
                      <wps:wsp>
                        <wps:cNvPr id="52" name="椭圆 102" descr="KSO_WM_UNIT_INDEX=1_18&amp;KSO_WM_UNIT_TYPE=n_i&amp;KSO_WM_UNIT_ID=wpsdiag20161027_3*n_i*1_18&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wps:cNvSpPr/>
                        <wps:spPr>
                          <a:xfrm>
                            <a:off x="4889" y="14414"/>
                            <a:ext cx="3620" cy="3480"/>
                          </a:xfrm>
                          <a:prstGeom prst="ellipse">
                            <a:avLst/>
                          </a:prstGeom>
                          <a:solidFill>
                            <a:srgbClr val="DEEBF7"/>
                          </a:solidFill>
                          <a:ln w="12700">
                            <a:noFill/>
                          </a:ln>
                        </wps:spPr>
                        <wps:bodyPr anchor="ctr" anchorCtr="0" upright="1"/>
                      </wps:wsp>
                      <wps:wsp>
                        <wps:cNvPr id="53" name="Freeform 94" descr="KSO_WM_UNIT_INDEX=1_19&amp;KSO_WM_UNIT_TYPE=n_i&amp;KSO_WM_UNIT_ID=wpsdiag20161027_3*n_i*1_19&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wps:cNvSpPr/>
                        <wps:spPr>
                          <a:xfrm>
                            <a:off x="24701" y="15113"/>
                            <a:ext cx="1435" cy="2133"/>
                          </a:xfrm>
                          <a:custGeom>
                            <a:avLst/>
                            <a:gdLst>
                              <a:gd name="txL" fmla="*/ 0 w 66"/>
                              <a:gd name="txT" fmla="*/ 0 h 107"/>
                              <a:gd name="txR" fmla="*/ 66 w 66"/>
                              <a:gd name="txB" fmla="*/ 107 h 107"/>
                            </a:gdLst>
                            <a:ahLst/>
                            <a:cxnLst>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0"/>
                              </a:cxn>
                              <a:cxn ang="0">
                                <a:pos x="0"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0"/>
                              </a:cxn>
                            </a:cxnLst>
                            <a:rect l="txL" t="txT" r="txR" b="txB"/>
                            <a:pathLst>
                              <a:path w="66" h="107">
                                <a:moveTo>
                                  <a:pt x="47" y="93"/>
                                </a:moveTo>
                                <a:cubicBezTo>
                                  <a:pt x="19" y="93"/>
                                  <a:pt x="19" y="93"/>
                                  <a:pt x="19" y="93"/>
                                </a:cubicBezTo>
                                <a:cubicBezTo>
                                  <a:pt x="19" y="100"/>
                                  <a:pt x="25" y="107"/>
                                  <a:pt x="33" y="107"/>
                                </a:cubicBezTo>
                                <a:cubicBezTo>
                                  <a:pt x="41" y="107"/>
                                  <a:pt x="47" y="100"/>
                                  <a:pt x="47" y="93"/>
                                </a:cubicBezTo>
                                <a:moveTo>
                                  <a:pt x="46" y="80"/>
                                </a:moveTo>
                                <a:cubicBezTo>
                                  <a:pt x="20" y="80"/>
                                  <a:pt x="20" y="80"/>
                                  <a:pt x="20" y="80"/>
                                </a:cubicBezTo>
                                <a:cubicBezTo>
                                  <a:pt x="17" y="80"/>
                                  <a:pt x="14" y="81"/>
                                  <a:pt x="14" y="84"/>
                                </a:cubicBezTo>
                                <a:cubicBezTo>
                                  <a:pt x="14" y="86"/>
                                  <a:pt x="17" y="88"/>
                                  <a:pt x="20" y="88"/>
                                </a:cubicBezTo>
                                <a:cubicBezTo>
                                  <a:pt x="46" y="88"/>
                                  <a:pt x="46" y="88"/>
                                  <a:pt x="46" y="88"/>
                                </a:cubicBezTo>
                                <a:cubicBezTo>
                                  <a:pt x="49" y="88"/>
                                  <a:pt x="52" y="86"/>
                                  <a:pt x="52" y="84"/>
                                </a:cubicBezTo>
                                <a:cubicBezTo>
                                  <a:pt x="52" y="81"/>
                                  <a:pt x="49" y="80"/>
                                  <a:pt x="46" y="80"/>
                                </a:cubicBezTo>
                                <a:moveTo>
                                  <a:pt x="12" y="25"/>
                                </a:moveTo>
                                <a:cubicBezTo>
                                  <a:pt x="11" y="25"/>
                                  <a:pt x="11" y="25"/>
                                  <a:pt x="11" y="25"/>
                                </a:cubicBezTo>
                                <a:cubicBezTo>
                                  <a:pt x="10" y="24"/>
                                  <a:pt x="10" y="23"/>
                                  <a:pt x="10" y="22"/>
                                </a:cubicBezTo>
                                <a:cubicBezTo>
                                  <a:pt x="14" y="16"/>
                                  <a:pt x="20" y="12"/>
                                  <a:pt x="27" y="9"/>
                                </a:cubicBezTo>
                                <a:cubicBezTo>
                                  <a:pt x="27" y="9"/>
                                  <a:pt x="27" y="9"/>
                                  <a:pt x="27" y="9"/>
                                </a:cubicBezTo>
                                <a:cubicBezTo>
                                  <a:pt x="28" y="9"/>
                                  <a:pt x="29" y="10"/>
                                  <a:pt x="29" y="11"/>
                                </a:cubicBezTo>
                                <a:cubicBezTo>
                                  <a:pt x="29" y="12"/>
                                  <a:pt x="29" y="13"/>
                                  <a:pt x="28" y="13"/>
                                </a:cubicBezTo>
                                <a:cubicBezTo>
                                  <a:pt x="22" y="15"/>
                                  <a:pt x="17" y="19"/>
                                  <a:pt x="13" y="24"/>
                                </a:cubicBezTo>
                                <a:cubicBezTo>
                                  <a:pt x="13" y="25"/>
                                  <a:pt x="13" y="25"/>
                                  <a:pt x="12" y="25"/>
                                </a:cubicBezTo>
                                <a:moveTo>
                                  <a:pt x="33" y="0"/>
                                </a:moveTo>
                                <a:cubicBezTo>
                                  <a:pt x="15" y="0"/>
                                  <a:pt x="0" y="16"/>
                                  <a:pt x="0" y="35"/>
                                </a:cubicBezTo>
                                <a:cubicBezTo>
                                  <a:pt x="0" y="38"/>
                                  <a:pt x="1" y="41"/>
                                  <a:pt x="2" y="45"/>
                                </a:cubicBezTo>
                                <a:cubicBezTo>
                                  <a:pt x="2" y="45"/>
                                  <a:pt x="2" y="45"/>
                                  <a:pt x="2" y="45"/>
                                </a:cubicBezTo>
                                <a:cubicBezTo>
                                  <a:pt x="13" y="73"/>
                                  <a:pt x="13" y="73"/>
                                  <a:pt x="13" y="73"/>
                                </a:cubicBezTo>
                                <a:cubicBezTo>
                                  <a:pt x="14" y="74"/>
                                  <a:pt x="14" y="75"/>
                                  <a:pt x="15" y="75"/>
                                </a:cubicBezTo>
                                <a:cubicBezTo>
                                  <a:pt x="51" y="75"/>
                                  <a:pt x="51" y="75"/>
                                  <a:pt x="51" y="75"/>
                                </a:cubicBezTo>
                                <a:cubicBezTo>
                                  <a:pt x="52" y="75"/>
                                  <a:pt x="53" y="74"/>
                                  <a:pt x="53" y="73"/>
                                </a:cubicBezTo>
                                <a:cubicBezTo>
                                  <a:pt x="64" y="45"/>
                                  <a:pt x="64" y="45"/>
                                  <a:pt x="64" y="45"/>
                                </a:cubicBezTo>
                                <a:cubicBezTo>
                                  <a:pt x="65" y="45"/>
                                  <a:pt x="65" y="45"/>
                                  <a:pt x="65" y="45"/>
                                </a:cubicBezTo>
                                <a:cubicBezTo>
                                  <a:pt x="65" y="41"/>
                                  <a:pt x="66" y="38"/>
                                  <a:pt x="66" y="35"/>
                                </a:cubicBezTo>
                                <a:cubicBezTo>
                                  <a:pt x="66" y="16"/>
                                  <a:pt x="51" y="0"/>
                                  <a:pt x="33" y="0"/>
                                </a:cubicBezTo>
                              </a:path>
                            </a:pathLst>
                          </a:custGeom>
                          <a:solidFill>
                            <a:srgbClr val="FFFFFF"/>
                          </a:solidFill>
                          <a:ln>
                            <a:noFill/>
                          </a:ln>
                        </wps:spPr>
                        <wps:bodyPr upright="1"/>
                      </wps:wsp>
                      <wps:wsp>
                        <wps:cNvPr id="54" name="Freeform 59" descr="KSO_WM_UNIT_INDEX=1_20&amp;KSO_WM_UNIT_TYPE=n_i&amp;KSO_WM_UNIT_ID=wpsdiag20161027_3*n_i*1_20&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wps:cNvSpPr/>
                        <wps:spPr>
                          <a:xfrm>
                            <a:off x="42989" y="15240"/>
                            <a:ext cx="2096" cy="1758"/>
                          </a:xfrm>
                          <a:custGeom>
                            <a:avLst/>
                            <a:gdLst>
                              <a:gd name="txL" fmla="*/ 0 w 145"/>
                              <a:gd name="txT" fmla="*/ 0 h 107"/>
                              <a:gd name="txR" fmla="*/ 145 w 145"/>
                              <a:gd name="txB" fmla="*/ 107 h 107"/>
                            </a:gdLst>
                            <a:ahLst/>
                            <a:cxnLst>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0"/>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0"/>
                              </a:cxn>
                            </a:cxnLst>
                            <a:rect l="txL" t="txT" r="txR" b="txB"/>
                            <a:pathLst>
                              <a:path w="145" h="107">
                                <a:moveTo>
                                  <a:pt x="29" y="72"/>
                                </a:moveTo>
                                <a:cubicBezTo>
                                  <a:pt x="13" y="72"/>
                                  <a:pt x="13" y="72"/>
                                  <a:pt x="13" y="72"/>
                                </a:cubicBezTo>
                                <a:cubicBezTo>
                                  <a:pt x="12" y="72"/>
                                  <a:pt x="11" y="73"/>
                                  <a:pt x="11" y="75"/>
                                </a:cubicBezTo>
                                <a:cubicBezTo>
                                  <a:pt x="11" y="105"/>
                                  <a:pt x="11" y="105"/>
                                  <a:pt x="11" y="105"/>
                                </a:cubicBezTo>
                                <a:cubicBezTo>
                                  <a:pt x="11" y="106"/>
                                  <a:pt x="12" y="107"/>
                                  <a:pt x="13" y="107"/>
                                </a:cubicBezTo>
                                <a:cubicBezTo>
                                  <a:pt x="29" y="107"/>
                                  <a:pt x="29" y="107"/>
                                  <a:pt x="29" y="107"/>
                                </a:cubicBezTo>
                                <a:cubicBezTo>
                                  <a:pt x="30" y="107"/>
                                  <a:pt x="31" y="106"/>
                                  <a:pt x="31" y="105"/>
                                </a:cubicBezTo>
                                <a:cubicBezTo>
                                  <a:pt x="31" y="75"/>
                                  <a:pt x="31" y="75"/>
                                  <a:pt x="31" y="75"/>
                                </a:cubicBezTo>
                                <a:cubicBezTo>
                                  <a:pt x="31" y="73"/>
                                  <a:pt x="30" y="72"/>
                                  <a:pt x="29" y="72"/>
                                </a:cubicBezTo>
                                <a:moveTo>
                                  <a:pt x="93" y="67"/>
                                </a:moveTo>
                                <a:cubicBezTo>
                                  <a:pt x="78" y="67"/>
                                  <a:pt x="78" y="67"/>
                                  <a:pt x="78" y="67"/>
                                </a:cubicBezTo>
                                <a:cubicBezTo>
                                  <a:pt x="76" y="67"/>
                                  <a:pt x="75" y="68"/>
                                  <a:pt x="75" y="69"/>
                                </a:cubicBezTo>
                                <a:cubicBezTo>
                                  <a:pt x="75" y="105"/>
                                  <a:pt x="75" y="105"/>
                                  <a:pt x="75" y="105"/>
                                </a:cubicBezTo>
                                <a:cubicBezTo>
                                  <a:pt x="75" y="106"/>
                                  <a:pt x="76" y="107"/>
                                  <a:pt x="78" y="107"/>
                                </a:cubicBezTo>
                                <a:cubicBezTo>
                                  <a:pt x="93" y="107"/>
                                  <a:pt x="93" y="107"/>
                                  <a:pt x="93" y="107"/>
                                </a:cubicBezTo>
                                <a:cubicBezTo>
                                  <a:pt x="94" y="107"/>
                                  <a:pt x="96" y="106"/>
                                  <a:pt x="96" y="105"/>
                                </a:cubicBezTo>
                                <a:cubicBezTo>
                                  <a:pt x="96" y="69"/>
                                  <a:pt x="96" y="69"/>
                                  <a:pt x="96" y="69"/>
                                </a:cubicBezTo>
                                <a:cubicBezTo>
                                  <a:pt x="96" y="68"/>
                                  <a:pt x="94" y="67"/>
                                  <a:pt x="93" y="67"/>
                                </a:cubicBezTo>
                                <a:moveTo>
                                  <a:pt x="125" y="56"/>
                                </a:moveTo>
                                <a:cubicBezTo>
                                  <a:pt x="110" y="56"/>
                                  <a:pt x="110" y="56"/>
                                  <a:pt x="110" y="56"/>
                                </a:cubicBezTo>
                                <a:cubicBezTo>
                                  <a:pt x="108" y="56"/>
                                  <a:pt x="107" y="57"/>
                                  <a:pt x="107" y="59"/>
                                </a:cubicBezTo>
                                <a:cubicBezTo>
                                  <a:pt x="107" y="105"/>
                                  <a:pt x="107" y="105"/>
                                  <a:pt x="107" y="105"/>
                                </a:cubicBezTo>
                                <a:cubicBezTo>
                                  <a:pt x="107" y="106"/>
                                  <a:pt x="108" y="107"/>
                                  <a:pt x="110" y="107"/>
                                </a:cubicBezTo>
                                <a:cubicBezTo>
                                  <a:pt x="125" y="107"/>
                                  <a:pt x="125" y="107"/>
                                  <a:pt x="125" y="107"/>
                                </a:cubicBezTo>
                                <a:cubicBezTo>
                                  <a:pt x="127" y="107"/>
                                  <a:pt x="128" y="106"/>
                                  <a:pt x="128" y="105"/>
                                </a:cubicBezTo>
                                <a:cubicBezTo>
                                  <a:pt x="128" y="59"/>
                                  <a:pt x="128" y="59"/>
                                  <a:pt x="128" y="59"/>
                                </a:cubicBezTo>
                                <a:cubicBezTo>
                                  <a:pt x="128" y="57"/>
                                  <a:pt x="127" y="56"/>
                                  <a:pt x="125" y="56"/>
                                </a:cubicBezTo>
                                <a:moveTo>
                                  <a:pt x="61" y="53"/>
                                </a:moveTo>
                                <a:cubicBezTo>
                                  <a:pt x="46" y="53"/>
                                  <a:pt x="46" y="53"/>
                                  <a:pt x="46" y="53"/>
                                </a:cubicBezTo>
                                <a:cubicBezTo>
                                  <a:pt x="44" y="53"/>
                                  <a:pt x="43" y="54"/>
                                  <a:pt x="43" y="55"/>
                                </a:cubicBezTo>
                                <a:cubicBezTo>
                                  <a:pt x="43" y="105"/>
                                  <a:pt x="43" y="105"/>
                                  <a:pt x="43" y="105"/>
                                </a:cubicBezTo>
                                <a:cubicBezTo>
                                  <a:pt x="43" y="106"/>
                                  <a:pt x="44" y="107"/>
                                  <a:pt x="46" y="107"/>
                                </a:cubicBezTo>
                                <a:cubicBezTo>
                                  <a:pt x="61" y="107"/>
                                  <a:pt x="61" y="107"/>
                                  <a:pt x="61" y="107"/>
                                </a:cubicBezTo>
                                <a:cubicBezTo>
                                  <a:pt x="62" y="107"/>
                                  <a:pt x="63" y="106"/>
                                  <a:pt x="63" y="105"/>
                                </a:cubicBezTo>
                                <a:cubicBezTo>
                                  <a:pt x="63" y="55"/>
                                  <a:pt x="63" y="55"/>
                                  <a:pt x="63" y="55"/>
                                </a:cubicBezTo>
                                <a:cubicBezTo>
                                  <a:pt x="63" y="54"/>
                                  <a:pt x="62" y="53"/>
                                  <a:pt x="61" y="53"/>
                                </a:cubicBezTo>
                                <a:moveTo>
                                  <a:pt x="143" y="0"/>
                                </a:moveTo>
                                <a:cubicBezTo>
                                  <a:pt x="143" y="0"/>
                                  <a:pt x="142" y="0"/>
                                  <a:pt x="142" y="0"/>
                                </a:cubicBezTo>
                                <a:cubicBezTo>
                                  <a:pt x="118" y="5"/>
                                  <a:pt x="118" y="5"/>
                                  <a:pt x="118" y="5"/>
                                </a:cubicBezTo>
                                <a:cubicBezTo>
                                  <a:pt x="117" y="5"/>
                                  <a:pt x="117" y="5"/>
                                  <a:pt x="116" y="6"/>
                                </a:cubicBezTo>
                                <a:cubicBezTo>
                                  <a:pt x="116" y="6"/>
                                  <a:pt x="115" y="7"/>
                                  <a:pt x="115" y="7"/>
                                </a:cubicBezTo>
                                <a:cubicBezTo>
                                  <a:pt x="115" y="8"/>
                                  <a:pt x="115" y="9"/>
                                  <a:pt x="115" y="10"/>
                                </a:cubicBezTo>
                                <a:cubicBezTo>
                                  <a:pt x="121" y="15"/>
                                  <a:pt x="121" y="15"/>
                                  <a:pt x="121" y="15"/>
                                </a:cubicBezTo>
                                <a:cubicBezTo>
                                  <a:pt x="90" y="44"/>
                                  <a:pt x="90" y="44"/>
                                  <a:pt x="90" y="44"/>
                                </a:cubicBezTo>
                                <a:cubicBezTo>
                                  <a:pt x="59" y="15"/>
                                  <a:pt x="59" y="15"/>
                                  <a:pt x="59" y="15"/>
                                </a:cubicBezTo>
                                <a:cubicBezTo>
                                  <a:pt x="58" y="15"/>
                                  <a:pt x="57" y="14"/>
                                  <a:pt x="55" y="14"/>
                                </a:cubicBezTo>
                                <a:cubicBezTo>
                                  <a:pt x="54" y="14"/>
                                  <a:pt x="53" y="14"/>
                                  <a:pt x="52" y="15"/>
                                </a:cubicBezTo>
                                <a:cubicBezTo>
                                  <a:pt x="3" y="60"/>
                                  <a:pt x="3" y="60"/>
                                  <a:pt x="3" y="60"/>
                                </a:cubicBezTo>
                                <a:cubicBezTo>
                                  <a:pt x="1" y="62"/>
                                  <a:pt x="0" y="65"/>
                                  <a:pt x="2" y="67"/>
                                </a:cubicBezTo>
                                <a:cubicBezTo>
                                  <a:pt x="3" y="68"/>
                                  <a:pt x="5" y="68"/>
                                  <a:pt x="6" y="68"/>
                                </a:cubicBezTo>
                                <a:cubicBezTo>
                                  <a:pt x="7" y="68"/>
                                  <a:pt x="8" y="68"/>
                                  <a:pt x="9" y="67"/>
                                </a:cubicBezTo>
                                <a:cubicBezTo>
                                  <a:pt x="55" y="26"/>
                                  <a:pt x="55" y="26"/>
                                  <a:pt x="55" y="26"/>
                                </a:cubicBezTo>
                                <a:cubicBezTo>
                                  <a:pt x="87" y="54"/>
                                  <a:pt x="87" y="54"/>
                                  <a:pt x="87" y="54"/>
                                </a:cubicBezTo>
                                <a:cubicBezTo>
                                  <a:pt x="88" y="55"/>
                                  <a:pt x="89" y="56"/>
                                  <a:pt x="90" y="56"/>
                                </a:cubicBezTo>
                                <a:cubicBezTo>
                                  <a:pt x="91" y="56"/>
                                  <a:pt x="93" y="55"/>
                                  <a:pt x="94" y="54"/>
                                </a:cubicBezTo>
                                <a:cubicBezTo>
                                  <a:pt x="127" y="22"/>
                                  <a:pt x="127" y="22"/>
                                  <a:pt x="127" y="22"/>
                                </a:cubicBezTo>
                                <a:cubicBezTo>
                                  <a:pt x="134" y="29"/>
                                  <a:pt x="134" y="29"/>
                                  <a:pt x="134" y="29"/>
                                </a:cubicBezTo>
                                <a:cubicBezTo>
                                  <a:pt x="134" y="30"/>
                                  <a:pt x="135" y="30"/>
                                  <a:pt x="136" y="30"/>
                                </a:cubicBezTo>
                                <a:cubicBezTo>
                                  <a:pt x="136" y="30"/>
                                  <a:pt x="136" y="30"/>
                                  <a:pt x="137" y="30"/>
                                </a:cubicBezTo>
                                <a:cubicBezTo>
                                  <a:pt x="137" y="29"/>
                                  <a:pt x="138" y="29"/>
                                  <a:pt x="138" y="29"/>
                                </a:cubicBezTo>
                                <a:cubicBezTo>
                                  <a:pt x="139" y="28"/>
                                  <a:pt x="139" y="28"/>
                                  <a:pt x="139" y="27"/>
                                </a:cubicBezTo>
                                <a:cubicBezTo>
                                  <a:pt x="145" y="3"/>
                                  <a:pt x="145" y="3"/>
                                  <a:pt x="145" y="3"/>
                                </a:cubicBezTo>
                                <a:cubicBezTo>
                                  <a:pt x="145" y="2"/>
                                  <a:pt x="145" y="1"/>
                                  <a:pt x="145" y="0"/>
                                </a:cubicBezTo>
                                <a:cubicBezTo>
                                  <a:pt x="144" y="0"/>
                                  <a:pt x="144" y="0"/>
                                  <a:pt x="143" y="0"/>
                                </a:cubicBezTo>
                              </a:path>
                            </a:pathLst>
                          </a:custGeom>
                          <a:solidFill>
                            <a:srgbClr val="FFFFFF"/>
                          </a:solidFill>
                          <a:ln>
                            <a:noFill/>
                          </a:ln>
                        </wps:spPr>
                        <wps:bodyPr upright="1"/>
                      </wps:wsp>
                      <wps:wsp>
                        <wps:cNvPr id="55" name="Freeform 10" descr="KSO_WM_UNIT_INDEX=1_21&amp;KSO_WM_UNIT_TYPE=n_i&amp;KSO_WM_UNIT_ID=wpsdiag20161027_3*n_i*1_21&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wps:cNvSpPr/>
                        <wps:spPr>
                          <a:xfrm>
                            <a:off x="5651" y="15303"/>
                            <a:ext cx="2164" cy="1846"/>
                          </a:xfrm>
                          <a:custGeom>
                            <a:avLst/>
                            <a:gdLst>
                              <a:gd name="txL" fmla="*/ 0 w 107"/>
                              <a:gd name="txT" fmla="*/ 0 h 79"/>
                              <a:gd name="txR" fmla="*/ 107 w 107"/>
                              <a:gd name="txB" fmla="*/ 79 h 79"/>
                            </a:gdLst>
                            <a:ahLst/>
                            <a:cxnLst>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0"/>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2147483646"/>
                              </a:cxn>
                              <a:cxn ang="0">
                                <a:pos x="2147483646" y="0"/>
                              </a:cxn>
                            </a:cxnLst>
                            <a:rect l="txL" t="txT" r="txR" b="txB"/>
                            <a:pathLst>
                              <a:path w="107" h="79">
                                <a:moveTo>
                                  <a:pt x="53" y="53"/>
                                </a:moveTo>
                                <a:cubicBezTo>
                                  <a:pt x="50" y="53"/>
                                  <a:pt x="46" y="55"/>
                                  <a:pt x="44" y="57"/>
                                </a:cubicBezTo>
                                <a:cubicBezTo>
                                  <a:pt x="39" y="62"/>
                                  <a:pt x="39" y="70"/>
                                  <a:pt x="44" y="75"/>
                                </a:cubicBezTo>
                                <a:cubicBezTo>
                                  <a:pt x="46" y="77"/>
                                  <a:pt x="50" y="79"/>
                                  <a:pt x="53" y="79"/>
                                </a:cubicBezTo>
                                <a:cubicBezTo>
                                  <a:pt x="56" y="79"/>
                                  <a:pt x="59" y="77"/>
                                  <a:pt x="62" y="75"/>
                                </a:cubicBezTo>
                                <a:cubicBezTo>
                                  <a:pt x="67" y="70"/>
                                  <a:pt x="67" y="62"/>
                                  <a:pt x="62" y="57"/>
                                </a:cubicBezTo>
                                <a:cubicBezTo>
                                  <a:pt x="59" y="55"/>
                                  <a:pt x="56" y="53"/>
                                  <a:pt x="53" y="53"/>
                                </a:cubicBezTo>
                                <a:moveTo>
                                  <a:pt x="53" y="28"/>
                                </a:moveTo>
                                <a:cubicBezTo>
                                  <a:pt x="42" y="28"/>
                                  <a:pt x="31" y="32"/>
                                  <a:pt x="22" y="41"/>
                                </a:cubicBezTo>
                                <a:cubicBezTo>
                                  <a:pt x="19" y="44"/>
                                  <a:pt x="19" y="48"/>
                                  <a:pt x="22" y="51"/>
                                </a:cubicBezTo>
                                <a:cubicBezTo>
                                  <a:pt x="24" y="53"/>
                                  <a:pt x="25" y="53"/>
                                  <a:pt x="27" y="53"/>
                                </a:cubicBezTo>
                                <a:cubicBezTo>
                                  <a:pt x="29" y="53"/>
                                  <a:pt x="31" y="53"/>
                                  <a:pt x="32" y="51"/>
                                </a:cubicBezTo>
                                <a:cubicBezTo>
                                  <a:pt x="38" y="45"/>
                                  <a:pt x="46" y="43"/>
                                  <a:pt x="53" y="43"/>
                                </a:cubicBezTo>
                                <a:cubicBezTo>
                                  <a:pt x="61" y="43"/>
                                  <a:pt x="68" y="45"/>
                                  <a:pt x="74" y="51"/>
                                </a:cubicBezTo>
                                <a:cubicBezTo>
                                  <a:pt x="76" y="53"/>
                                  <a:pt x="77" y="53"/>
                                  <a:pt x="79" y="53"/>
                                </a:cubicBezTo>
                                <a:cubicBezTo>
                                  <a:pt x="81" y="53"/>
                                  <a:pt x="83" y="53"/>
                                  <a:pt x="84" y="51"/>
                                </a:cubicBezTo>
                                <a:cubicBezTo>
                                  <a:pt x="87" y="48"/>
                                  <a:pt x="87" y="44"/>
                                  <a:pt x="84" y="41"/>
                                </a:cubicBezTo>
                                <a:cubicBezTo>
                                  <a:pt x="76" y="32"/>
                                  <a:pt x="65" y="28"/>
                                  <a:pt x="53" y="28"/>
                                </a:cubicBezTo>
                                <a:moveTo>
                                  <a:pt x="53" y="0"/>
                                </a:moveTo>
                                <a:cubicBezTo>
                                  <a:pt x="35" y="0"/>
                                  <a:pt x="16" y="7"/>
                                  <a:pt x="2" y="22"/>
                                </a:cubicBezTo>
                                <a:cubicBezTo>
                                  <a:pt x="0" y="24"/>
                                  <a:pt x="0" y="28"/>
                                  <a:pt x="2" y="31"/>
                                </a:cubicBezTo>
                                <a:cubicBezTo>
                                  <a:pt x="3" y="32"/>
                                  <a:pt x="5" y="33"/>
                                  <a:pt x="7" y="33"/>
                                </a:cubicBezTo>
                                <a:cubicBezTo>
                                  <a:pt x="9" y="33"/>
                                  <a:pt x="10" y="32"/>
                                  <a:pt x="12" y="31"/>
                                </a:cubicBezTo>
                                <a:cubicBezTo>
                                  <a:pt x="23" y="20"/>
                                  <a:pt x="38" y="14"/>
                                  <a:pt x="53" y="14"/>
                                </a:cubicBezTo>
                                <a:cubicBezTo>
                                  <a:pt x="68" y="14"/>
                                  <a:pt x="83" y="20"/>
                                  <a:pt x="95" y="31"/>
                                </a:cubicBezTo>
                                <a:cubicBezTo>
                                  <a:pt x="96" y="32"/>
                                  <a:pt x="98" y="33"/>
                                  <a:pt x="100" y="33"/>
                                </a:cubicBezTo>
                                <a:cubicBezTo>
                                  <a:pt x="101" y="33"/>
                                  <a:pt x="103" y="32"/>
                                  <a:pt x="104" y="31"/>
                                </a:cubicBezTo>
                                <a:cubicBezTo>
                                  <a:pt x="107" y="28"/>
                                  <a:pt x="107" y="24"/>
                                  <a:pt x="104" y="22"/>
                                </a:cubicBezTo>
                                <a:cubicBezTo>
                                  <a:pt x="90" y="7"/>
                                  <a:pt x="72" y="0"/>
                                  <a:pt x="53" y="0"/>
                                </a:cubicBezTo>
                              </a:path>
                            </a:pathLst>
                          </a:custGeom>
                          <a:solidFill>
                            <a:srgbClr val="FFFFFF"/>
                          </a:solidFill>
                          <a:ln>
                            <a:noFill/>
                          </a:ln>
                        </wps:spPr>
                        <wps:bodyPr upright="1"/>
                      </wps:wsp>
                      <wps:wsp>
                        <wps:cNvPr id="56" name="矩形 106" descr="KSO_WM_UNIT_INDEX=1_2_1_1&amp;KSO_WM_UNIT_TYPE=n_h_h_a&amp;KSO_WM_UNIT_ID=wpsdiag20161027_3*n_h_h_a*1_2_1_1&amp;KSO_WM_UNIT_LAYERLEVEL=1_1_1_1&amp;KSO_WM_UNIT_HIGHLIGHT=0&amp;KSO_WM_UNIT_CLEAR=0&amp;KSO_WM_UNIT_COMPATIBLE=0&amp;KSO_WM_UNIT_PRESET_TEXT=LOREM&amp;KSO_WM_UNIT_VALUE=11&amp;KSO_WM_TAG_VERSION=1.0&amp;KSO_WM_BEAUTIFY_FLAG=#wm#&amp;KSO_WM_TEMPLATE_CATEGORY=wpsdiag&amp;KSO_WM_TEMPLATE_INDEX=20161027&amp;KSO_WM_SLIDE_ITEM_CNT=3&amp;KSO_WM_DIAGRAM_GROUP_CODE=n1_1&amp;KSO_WM_UNIT_TEXT_FILL_FORE_SCHEMECOLOR_INDEX=13&amp;KSO_WM_UNIT_TEXT_FILL_TYPE=1"/>
                        <wps:cNvSpPr/>
                        <wps:spPr>
                          <a:xfrm>
                            <a:off x="0" y="18351"/>
                            <a:ext cx="14014" cy="2159"/>
                          </a:xfrm>
                          <a:prstGeom prst="rect">
                            <a:avLst/>
                          </a:prstGeom>
                          <a:noFill/>
                          <a:ln>
                            <a:noFill/>
                          </a:ln>
                        </wps:spPr>
                        <wps:txbx>
                          <w:txbxContent>
                            <w:p>
                              <w:pPr>
                                <w:pStyle w:val="20"/>
                                <w:snapToGrid w:val="0"/>
                                <w:spacing w:line="192" w:lineRule="auto"/>
                                <w:jc w:val="center"/>
                                <w:textAlignment w:val="baseline"/>
                                <w:rPr>
                                  <w:rFonts w:ascii="黑体" w:hAnsi="黑体" w:eastAsia="黑体" w:cs="黑体"/>
                                  <w:b/>
                                  <w:bCs/>
                                  <w:color w:val="2E75B6" w:themeColor="accent5" w:themeShade="BF"/>
                                  <w:sz w:val="21"/>
                                  <w:szCs w:val="36"/>
                                </w:rPr>
                              </w:pPr>
                              <w:r>
                                <w:rPr>
                                  <w:rFonts w:hint="eastAsia" w:ascii="黑体" w:hAnsi="黑体" w:eastAsia="黑体" w:cs="黑体"/>
                                  <w:b/>
                                  <w:bCs/>
                                  <w:color w:val="2E75B6" w:themeColor="accent5" w:themeShade="BF"/>
                                  <w:sz w:val="21"/>
                                  <w:szCs w:val="36"/>
                                </w:rPr>
                                <w:t>应急领导组</w:t>
                              </w:r>
                            </w:p>
                          </w:txbxContent>
                        </wps:txbx>
                        <wps:bodyPr lIns="42185" tIns="21093" rIns="42185" bIns="21093" upright="1"/>
                      </wps:wsp>
                      <wps:wsp>
                        <wps:cNvPr id="57" name="矩形 141" descr="KSO_WM_UNIT_INDEX=1_2_1_1&amp;KSO_WM_UNIT_TYPE=n_h_h_f&amp;KSO_WM_UNIT_ID=wpsdiag20161027_3*n_h_h_f*1_2_1_1&amp;KSO_WM_UNIT_LAYERLEVEL=1_1_1_1&amp;KSO_WM_UNIT_HIGHLIGHT=0&amp;KSO_WM_UNIT_CLEAR=0&amp;KSO_WM_UNIT_COMPATIBLE=0&amp;KSO_WM_UNIT_PRESET_TEXT=Lorem ipsum dolor sit amet, consectetur adipiscing elit.&amp;KSO_WM_UNIT_VALUE=77&amp;KSO_WM_TAG_VERSION=1.0&amp;KSO_WM_BEAUTIFY_FLAG=#wm#&amp;KSO_WM_TEMPLATE_CATEGORY=wpsdiag&amp;KSO_WM_TEMPLATE_INDEX=20161027&amp;KSO_WM_SLIDE_ITEM_CNT=3&amp;KSO_WM_DIAGRAM_GROUP_CODE=n1_1&amp;KSO_WM_UNIT_TEXT_FILL_FORE_SCHEMECOLOR_INDEX=13&amp;KSO_WM_UNIT_TEXT_FILL_TYPE=1"/>
                        <wps:cNvSpPr/>
                        <wps:spPr>
                          <a:xfrm>
                            <a:off x="0" y="20929"/>
                            <a:ext cx="14011" cy="1982"/>
                          </a:xfrm>
                          <a:prstGeom prst="rect">
                            <a:avLst/>
                          </a:prstGeom>
                          <a:noFill/>
                          <a:ln>
                            <a:noFill/>
                          </a:ln>
                        </wps:spPr>
                        <wps:txbx>
                          <w:txbxContent>
                            <w:p>
                              <w:pPr>
                                <w:pStyle w:val="20"/>
                                <w:snapToGrid w:val="0"/>
                                <w:spacing w:line="360" w:lineRule="auto"/>
                                <w:jc w:val="center"/>
                                <w:textAlignment w:val="baseline"/>
                                <w:rPr>
                                  <w:rFonts w:ascii="宋体" w:hAnsi="宋体" w:eastAsia="宋体" w:cs="宋体"/>
                                  <w:color w:val="000000"/>
                                  <w:sz w:val="18"/>
                                  <w:szCs w:val="28"/>
                                </w:rPr>
                              </w:pPr>
                              <w:r>
                                <w:rPr>
                                  <w:rFonts w:hint="eastAsia" w:ascii="宋体" w:hAnsi="宋体" w:eastAsia="宋体" w:cs="宋体"/>
                                  <w:color w:val="000000"/>
                                  <w:sz w:val="18"/>
                                  <w:szCs w:val="28"/>
                                </w:rPr>
                                <w:t>决策层</w:t>
                              </w:r>
                            </w:p>
                          </w:txbxContent>
                        </wps:txbx>
                        <wps:bodyPr lIns="42185" tIns="21093" rIns="42185" bIns="21093" upright="1"/>
                      </wps:wsp>
                      <wps:wsp>
                        <wps:cNvPr id="58" name="矩形 142" descr="KSO_WM_UNIT_INDEX=1_2_2_1&amp;KSO_WM_UNIT_TYPE=n_h_h_a&amp;KSO_WM_UNIT_ID=wpsdiag20161027_3*n_h_h_a*1_2_2_1&amp;KSO_WM_UNIT_LAYERLEVEL=1_1_1_1&amp;KSO_WM_UNIT_HIGHLIGHT=0&amp;KSO_WM_UNIT_CLEAR=0&amp;KSO_WM_UNIT_COMPATIBLE=0&amp;KSO_WM_UNIT_PRESET_TEXT=LOREM&amp;KSO_WM_UNIT_VALUE=11&amp;KSO_WM_TAG_VERSION=1.0&amp;KSO_WM_BEAUTIFY_FLAG=#wm#&amp;KSO_WM_TEMPLATE_CATEGORY=wpsdiag&amp;KSO_WM_TEMPLATE_INDEX=20161027&amp;KSO_WM_SLIDE_ITEM_CNT=3&amp;KSO_WM_DIAGRAM_GROUP_CODE=n1_1&amp;KSO_WM_UNIT_TEXT_FILL_FORE_SCHEMECOLOR_INDEX=13&amp;KSO_WM_UNIT_TEXT_FILL_TYPE=1"/>
                        <wps:cNvSpPr/>
                        <wps:spPr>
                          <a:xfrm>
                            <a:off x="18223" y="18215"/>
                            <a:ext cx="14016" cy="2162"/>
                          </a:xfrm>
                          <a:prstGeom prst="rect">
                            <a:avLst/>
                          </a:prstGeom>
                          <a:noFill/>
                          <a:ln>
                            <a:noFill/>
                          </a:ln>
                        </wps:spPr>
                        <wps:txbx>
                          <w:txbxContent>
                            <w:p>
                              <w:pPr>
                                <w:pStyle w:val="20"/>
                                <w:snapToGrid w:val="0"/>
                                <w:spacing w:line="192" w:lineRule="auto"/>
                                <w:jc w:val="center"/>
                                <w:textAlignment w:val="baseline"/>
                                <w:rPr>
                                  <w:rFonts w:ascii="黑体" w:hAnsi="黑体" w:eastAsia="黑体" w:cs="黑体"/>
                                  <w:b/>
                                  <w:bCs/>
                                  <w:color w:val="2E75B6" w:themeColor="accent5" w:themeShade="BF"/>
                                  <w:sz w:val="21"/>
                                  <w:szCs w:val="36"/>
                                  <w:lang w:eastAsia="zh-Hans"/>
                                </w:rPr>
                              </w:pPr>
                              <w:r>
                                <w:rPr>
                                  <w:rFonts w:hint="eastAsia" w:ascii="黑体" w:hAnsi="黑体" w:eastAsia="黑体" w:cs="黑体"/>
                                  <w:b/>
                                  <w:bCs/>
                                  <w:color w:val="2E75B6" w:themeColor="accent5" w:themeShade="BF"/>
                                  <w:sz w:val="21"/>
                                  <w:szCs w:val="36"/>
                                  <w:lang w:eastAsia="zh-Hans"/>
                                </w:rPr>
                                <w:t>应急管理办公室</w:t>
                              </w:r>
                            </w:p>
                          </w:txbxContent>
                        </wps:txbx>
                        <wps:bodyPr lIns="42185" tIns="21093" rIns="42185" bIns="21093" upright="1"/>
                      </wps:wsp>
                      <wps:wsp>
                        <wps:cNvPr id="59" name="矩形 143" descr="KSO_WM_UNIT_INDEX=1_2_3_1&amp;KSO_WM_UNIT_TYPE=n_h_h_f&amp;KSO_WM_UNIT_ID=wpsdiag20161027_3*n_h_h_f*1_2_3_1&amp;KSO_WM_UNIT_LAYERLEVEL=1_1_1_1&amp;KSO_WM_UNIT_HIGHLIGHT=0&amp;KSO_WM_UNIT_CLEAR=0&amp;KSO_WM_UNIT_COMPATIBLE=0&amp;KSO_WM_UNIT_PRESET_TEXT=Lorem ipsum dolor sit amet, consectetur adipiscing elit.&amp;KSO_WM_UNIT_VALUE=77&amp;KSO_WM_TAG_VERSION=1.0&amp;KSO_WM_BEAUTIFY_FLAG=#wm#&amp;KSO_WM_TEMPLATE_CATEGORY=wpsdiag&amp;KSO_WM_TEMPLATE_INDEX=20161027&amp;KSO_WM_SLIDE_ITEM_CNT=3&amp;KSO_WM_DIAGRAM_GROUP_CODE=n1_1&amp;KSO_WM_UNIT_TEXT_FILL_FORE_SCHEMECOLOR_INDEX=13&amp;KSO_WM_UNIT_TEXT_FILL_TYPE=1"/>
                        <wps:cNvSpPr/>
                        <wps:spPr>
                          <a:xfrm>
                            <a:off x="18290" y="20920"/>
                            <a:ext cx="14018" cy="1824"/>
                          </a:xfrm>
                          <a:prstGeom prst="rect">
                            <a:avLst/>
                          </a:prstGeom>
                          <a:noFill/>
                          <a:ln>
                            <a:noFill/>
                          </a:ln>
                        </wps:spPr>
                        <wps:txbx>
                          <w:txbxContent>
                            <w:p>
                              <w:pPr>
                                <w:pStyle w:val="20"/>
                                <w:snapToGrid w:val="0"/>
                                <w:spacing w:line="360" w:lineRule="auto"/>
                                <w:jc w:val="center"/>
                                <w:textAlignment w:val="baseline"/>
                                <w:rPr>
                                  <w:rFonts w:ascii="宋体" w:hAnsi="宋体" w:eastAsia="宋体" w:cs="宋体"/>
                                  <w:color w:val="000000"/>
                                  <w:kern w:val="24"/>
                                  <w:sz w:val="18"/>
                                  <w:szCs w:val="20"/>
                                </w:rPr>
                              </w:pPr>
                              <w:r>
                                <w:rPr>
                                  <w:rFonts w:hint="eastAsia" w:ascii="宋体" w:hAnsi="宋体" w:eastAsia="宋体" w:cs="宋体"/>
                                  <w:color w:val="000000"/>
                                  <w:kern w:val="24"/>
                                  <w:sz w:val="18"/>
                                  <w:szCs w:val="20"/>
                                </w:rPr>
                                <w:t>管理层</w:t>
                              </w:r>
                            </w:p>
                          </w:txbxContent>
                        </wps:txbx>
                        <wps:bodyPr lIns="42185" tIns="21093" rIns="42185" bIns="21093" upright="1"/>
                      </wps:wsp>
                      <wps:wsp>
                        <wps:cNvPr id="60" name="矩形 144" descr="KSO_WM_UNIT_INDEX=1_22&amp;KSO_WM_UNIT_TYPE=n_i&amp;KSO_WM_UNIT_ID=wpsdiag20161027_3*n_i*1_22&amp;KSO_WM_UNIT_LAYERLEVEL=1_1&amp;KSO_WM_UNIT_CLEAR=1&amp;KSO_WM_TAG_VERSION=1.0&amp;KSO_WM_BEAUTIFY_FLAG=#wm#&amp;KSO_WM_TEMPLATE_CATEGORY=wpsdiag&amp;KSO_WM_TEMPLATE_INDEX=20161027&amp;KSO_WM_SLIDE_ITEM_CNT=3&amp;KSO_WM_DIAGRAM_GROUP_CODE=n1_1&amp;KSO_WM_UNIT_TEXT_FILL_FORE_SCHEMECOLOR_INDEX=13&amp;KSO_WM_UNIT_TEXT_FILL_TYPE=1"/>
                        <wps:cNvSpPr/>
                        <wps:spPr>
                          <a:xfrm>
                            <a:off x="36951" y="18280"/>
                            <a:ext cx="14016" cy="2161"/>
                          </a:xfrm>
                          <a:prstGeom prst="rect">
                            <a:avLst/>
                          </a:prstGeom>
                          <a:noFill/>
                          <a:ln>
                            <a:noFill/>
                          </a:ln>
                        </wps:spPr>
                        <wps:txbx>
                          <w:txbxContent>
                            <w:p>
                              <w:pPr>
                                <w:pStyle w:val="20"/>
                                <w:snapToGrid w:val="0"/>
                                <w:spacing w:line="192" w:lineRule="auto"/>
                                <w:jc w:val="center"/>
                                <w:textAlignment w:val="baseline"/>
                                <w:rPr>
                                  <w:rFonts w:ascii="黑体" w:hAnsi="黑体" w:eastAsia="黑体" w:cs="黑体"/>
                                  <w:b/>
                                  <w:bCs/>
                                  <w:color w:val="2E75B6" w:themeColor="accent5" w:themeShade="BF"/>
                                  <w:sz w:val="21"/>
                                  <w:szCs w:val="36"/>
                                </w:rPr>
                              </w:pPr>
                              <w:r>
                                <w:rPr>
                                  <w:rFonts w:hint="eastAsia" w:ascii="黑体" w:hAnsi="黑体" w:eastAsia="黑体" w:cs="黑体"/>
                                  <w:b/>
                                  <w:bCs/>
                                  <w:color w:val="2E75B6" w:themeColor="accent5" w:themeShade="BF"/>
                                  <w:sz w:val="21"/>
                                  <w:szCs w:val="36"/>
                                </w:rPr>
                                <w:t>应急处理小组</w:t>
                              </w:r>
                            </w:p>
                          </w:txbxContent>
                        </wps:txbx>
                        <wps:bodyPr lIns="42185" tIns="21093" rIns="42185" bIns="21093" upright="1"/>
                      </wps:wsp>
                      <wps:wsp>
                        <wps:cNvPr id="61" name="矩形 145" descr="KSO_WM_UNIT_INDEX=1_2_3_1&amp;KSO_WM_UNIT_TYPE=n_h_h_a&amp;KSO_WM_UNIT_ID=wpsdiag20161027_3*n_h_h_a*1_2_3_1&amp;KSO_WM_UNIT_LAYERLEVEL=1_1_1_1&amp;KSO_WM_UNIT_HIGHLIGHT=0&amp;KSO_WM_UNIT_CLEAR=0&amp;KSO_WM_UNIT_COMPATIBLE=0&amp;KSO_WM_UNIT_PRESET_TEXT=Lorem ipsum dolor sit amet, consectetur adipiscing elit.&amp;KSO_WM_UNIT_VALUE=77&amp;KSO_WM_TAG_VERSION=1.0&amp;KSO_WM_BEAUTIFY_FLAG=#wm#&amp;KSO_WM_TEMPLATE_CATEGORY=wpsdiag&amp;KSO_WM_TEMPLATE_INDEX=20161027&amp;KSO_WM_SLIDE_ITEM_CNT=3&amp;KSO_WM_DIAGRAM_GROUP_CODE=n1_1&amp;KSO_WM_UNIT_TEXT_FILL_FORE_SCHEMECOLOR_INDEX=13&amp;KSO_WM_UNIT_TEXT_FILL_TYPE=1"/>
                        <wps:cNvSpPr/>
                        <wps:spPr>
                          <a:xfrm>
                            <a:off x="37079" y="20984"/>
                            <a:ext cx="14649" cy="1736"/>
                          </a:xfrm>
                          <a:prstGeom prst="rect">
                            <a:avLst/>
                          </a:prstGeom>
                          <a:noFill/>
                          <a:ln>
                            <a:noFill/>
                          </a:ln>
                        </wps:spPr>
                        <wps:txbx>
                          <w:txbxContent>
                            <w:p>
                              <w:pPr>
                                <w:pStyle w:val="20"/>
                                <w:snapToGrid w:val="0"/>
                                <w:spacing w:line="360" w:lineRule="auto"/>
                                <w:ind w:firstLine="900" w:firstLineChars="500"/>
                                <w:textAlignment w:val="baseline"/>
                                <w:rPr>
                                  <w:rFonts w:ascii="宋体" w:hAnsi="宋体" w:eastAsia="宋体" w:cs="宋体"/>
                                  <w:color w:val="000000"/>
                                  <w:sz w:val="18"/>
                                  <w:szCs w:val="28"/>
                                  <w:lang w:eastAsia="zh-Hans"/>
                                </w:rPr>
                              </w:pPr>
                              <w:r>
                                <w:rPr>
                                  <w:rFonts w:hint="eastAsia" w:ascii="宋体" w:hAnsi="宋体" w:eastAsia="宋体" w:cs="宋体"/>
                                  <w:color w:val="000000"/>
                                  <w:sz w:val="18"/>
                                  <w:szCs w:val="28"/>
                                  <w:lang w:eastAsia="zh-Hans"/>
                                </w:rPr>
                                <w:t>执行层</w:t>
                              </w:r>
                            </w:p>
                          </w:txbxContent>
                        </wps:txbx>
                        <wps:bodyPr lIns="42185" tIns="21093" rIns="42185" bIns="21093" upright="1"/>
                      </wps:wsp>
                    </wpg:wgp>
                  </a:graphicData>
                </a:graphic>
              </wp:anchor>
            </w:drawing>
          </mc:Choice>
          <mc:Fallback>
            <w:pict>
              <v:group id="组合 863" o:spid="_x0000_s1026" o:spt="203" alt="KSO_WM_TAG_VERSION=1.0&amp;KSO_WM_BEAUTIFY_FLAG=#wm#&amp;KSO_WM_UNIT_TYPE=i&amp;KSO_WM_UNIT_ID=wpsdiag20161027_3*i*1&amp;KSO_WM_TEMPLATE_CATEGORY=wpsdiag&amp;KSO_WM_TEMPLATE_INDEX=20161027" style="position:absolute;left:0pt;margin-left:0.75pt;margin-top:10.25pt;height:164.9pt;width:409.8pt;mso-wrap-distance-bottom:0pt;mso-wrap-distance-top:0pt;z-index:251659264;mso-width-relative:page;mso-height-relative:page;" coordorigin="0,2095" coordsize="51728,20816" o:gfxdata="UEsDBAoAAAAAAIdO4kAAAAAAAAAAAAAAAAAEAAAAZHJzL1BLAwQUAAAACACHTuJA+Bg7ndcAAAAI&#10;AQAADwAAAGRycy9kb3ducmV2LnhtbE2PwWrDMBBE74X+g9hAb40kG5fgWg4htD2FQpNC6U2xN7aJ&#10;tTKWYid/3+2pPS3DDLNvivXV9WLCMXSeDOilAoFU+bqjxsDn4fVxBSJES7XtPaGBGwZYl/d3hc1r&#10;P9MHTvvYCC6hkFsDbYxDLmWoWnQ2LP2AxN7Jj85GlmMj69HOXO56mSj1JJ3tiD+0dsBti9V5f3EG&#10;3mY7b1L9Mu3Op+3t+5C9f+00GvOw0OoZRMRr/AvDLz6jQ8lMR3+hOoiedcZBA4niy/Yq0RrE0UCa&#10;qRRkWcj/A8ofUEsDBBQAAAAIAIdO4kDWsy4TkxoAAOHIAAAOAAAAZHJzL2Uyb0RvYy54bWztXV9v&#10;40hyfw+Q7yB4gXsYXNZq/hEp32oPHlv2GucZDzyevZsnQSPJtgBZEiTNeDbPQZCnIO8JEiBIAgRI&#10;3vIWBPk0e5uPkV93VZMskiZbnh3bN8s93FhsNovV1fW/q5vf/Pbjzaz1YbJaTxfz3o76ur3TmsxH&#10;i/F0ftXbeXNx9BfxTmu9Gc7Hw9liPunt/DBZ7/z22z//s29ul3sTb3G9mI0nqxaAzNd7t8vezvVm&#10;s9zb3V2Pric3w/XXi+VkjpuXi9XNcIPL1dXueDW8BfSb2a7Xbnd2bxer8XK1GE3Wa7Qe0s0dhrhy&#10;Abi4vJyOJoeL0fubyXxDUFeT2XCDIa2vp8v1zrcG28vLyWhzdnm5nmxas94ORrox/+Il+P1O/7v7&#10;7TfDvavVcHk9HTEKQxcUcmO6GU7neGkC6nC4Gbber6YFUDfT0WqxXlxuvh4tbnZpIIYiGIVq52hz&#10;vFq8X5qxXO3dXi0TomOiclS/N9jRyw+vVq3puLfT8XZa8+ENZvyn//6rH//ub1pxx99pjSfrEcj1&#10;u9dng9+/GFzsHw++75+/Pjl72QPn/Gp4s/wN33re339zcXL0dnB0un/c++r25qvs3TcvTy4GF29f&#10;9XvTQvPJYe92uR5Ph1cgQUe1vWjgP5s+U9mOF/0Xr073L/qDA/xzfHb+1j5S2unk5WH/Dz0LTc/x&#10;7fJqD0M9Xi1fL1+tuOGKrvS0fbxc3ei/mJDWR8MdPyTcMfm4aY3QGHrtIOiAcUa457W7QdBl/hld&#10;g8nS53AvJMYaXfftwyryIFj0aKw6+v6ufe+uRi/BBsTYu12ns73+tNl+fT1cTgwTrTUJeLZ9zC3P&#10;9t//1x//9l//73//Ef/+9B//1ooLs24mj2iqBmJa0mmdDxwnFh2flUE53X/bPz/tf98/7ZXdPjjt&#10;75/3xMvvzYyfwkxZfnt9enLYH5wA3ODg5UXPz947PNk/Pt9/MTg+P3vzanBwdtjvzcvGdXrysj84&#10;OjvvD14ffNd/0T84Oz07HxCxoyxAQ2rT+/n+we9KegtpTHsfnZyekuQpEgTDBQdzloL13hoCUSIC&#10;Xhi0wetgdegBw67DPSsJLAMdL4gFHw/3lqv15niyuGnpH72d2XSuWW+4N/xwut4Qy9suunk2b91C&#10;8/ihhjiEMbmEEsfPmyUU0np+ZZ5dL2bT8dF0NtNPrFdX7w5mq9aHoVbo5j9GQXTTLzkcrq+p3xi/&#10;dK/h3s10M1mZX9eT4bg/H7c2Pyyh8uYwdTsal5vJeKc1m8Ay6l+m52Y4nbn0hDjP5pBqLb9EVP3r&#10;3WL8g6G1aYdca2X0EAIeWAH/47/854//8NetGA1Smwu59grMZtT1lnJdhPILlWsjdnfIdVggtent&#10;LNflIp0YNst91rokVs3rBFHXiLTXafvE3Fakw04QknkKQ+Xpe4l1Kkj1ZDaDj1Up2EIYhcz6bf0/&#10;Ugqz5fWQJDRsK7KZeCt3NxgIOKQtlBdBMWlhni+0ViBU75S81nA+ul7AhRltVjt8cbAhD/D9cjW9&#10;uoaeMqrxoQUU9CYLbAUUDRUCKszLvQ1vEUojoAXD+1gCquJOG0yg3ctGQHWI9rgC2skLKBoqBDQo&#10;qPX7WNAilEZACwLaKZD6YSyoCtrd6LEFtHt44PdtAPklG0hQWhpINFTIX1Fr30f+ilAa+Xsy8ue3&#10;o0b+HiyCRL5Kyh8aKuSvqJTvI39FKI38FeSvqKQexv51o8cPIA+7+n/5ANLv4j8OW38pASRieSmf&#10;aKiQz2I68T7yWYTSyOeTkU8/9NsIUh43gPzTEFBecPm8a2pBuspCa2q0YrTlapQXRrEysxr5bZOb&#10;S1PxKg7QZNaV4Bpxnj5Zj/KU18Vd8EPQ9o16HO6la1IKdznpp8J2m5JgNmv4CGtSASJ+Umg/5dak&#10;uhh+hWaLC+HgfTRbEcoXptkyi0JPccGphFdtdpoXnMI4bBac0qWpp7XgFEBG75BeqKAK6e3+LNJb&#10;hNJI70MuFyfS240RopuFUyu92s7AK9G1D6Zg4u6VpWa9+NHWiwMI6R3iW1MQUiw8uI/1VUUwjQB/&#10;bgFuXWIl9zu9/qnXU7n4yffCELUCkNaiKLMh7qogqF4jbiS5TJJTp5pK0kzN12cOQZIsOpf1dc3M&#10;uYQgpdzR0T6YZo4o6OZqCBTq2uAEaD0fBV4SbnBtXKhQRmRCEeUbL+5JhyJJ9UwhFKlepVeiRO3e&#10;y/QlYBpt+Lm1YUYHljCr9WaaWKSsTO6JxSIQ0jucmeo1fFUsYLuXM1ME04jvY4gvFgVytatNMFJa&#10;5vrE5BdSeof8VtcAqGJ9273ktwimkd/PLb+l7qbq+F3yN4ui3AQjn2SJZTDyACXp2C3AUs0Vr3pm&#10;KxKDqlgLdy9hLoL5woTZdbOJKRK4oyi9WHfxMCUFnmeCRsSM6bYp62p3Ar0ZSceTnRAbrz5fUbrX&#10;j8Lnv4CSuiApGdC79mhnWKUEFgtN7iWBRTCNBBaKBkrU3QOJoK8iuFUQM78DgRO5e2x4RCpEi6Dv&#10;0+J1Jns/ek+7vXTgbHd4YQvsmPZ6oe3a/hp9nNufK+zJrdyNuxxu9HMaqP6p3dUAxr/tA8dr/EZt&#10;vMJik75/s/gwuViYnhu9/1J1221fb2TR+IZh1FV2UTvtOZtnn/BR0ItV9ZInbD/7d2ne4GN/aujb&#10;N3TbYWQIZtxnglvoH/l6YdtQ1/M9PEt6zPazfy18hVdQosyH1ktXPG0/+zfp3431Zk4DX+dl7Yht&#10;P/vX9veMLjX9IxX5kV1Rtf3sX9vfD/Q2P+ofBB7VGFSMV5dIM32iThfEqhlvEHf0RmONf9QNMYM1&#10;/cPYi6imwY89RHNmsakCnw6QoOoJPw6wvdgmru047V873giJTQs/Um1UXlTPV9xte5Qu9+NuqOvD&#10;K/tjC3wY8vx2FRi0hj6e8tuW/t1Aee2a+fIwv7oiRNOz24Gw1MHHfCmW/m4cBJCyavzDjofEr4aP&#10;DaKaoDX9I9XpEP+gUiWIsA2xGn4cdztEn6AdeG3wUmV/FDxhXxvjE6IaxppxO6/2L8+vr+IopPGi&#10;b7fr1+Dj+8rTZtOMFwwKWa7GJwgibK6j/jEEsoaefhirBB9dX1kzX36EciCa3wCKIqBc+t3872NP&#10;kcf0VNCbXg18TJKvjwLQ41Weitu2qtLS0f5legawHcCB+4O0dfBBUMXzpXz8VzNfQdgOoMUJvh9j&#10;B0Y1/YNOFAFn6o9VCJRgVc5XEKP0iflBBVAuNfwGdDzoHIYfR3i2En7o+Tg1gPuHKoxr6BkGIL+F&#10;H2IXdl1/bOrs2PFu2Z8taRX+KoD+t/K7bX9Vjw9IDpFyxx/yFEABOdNTYZUqtvKrgtr5Usj8t+14&#10;HfhBoeLSt/pK1fObCjFdVl9hIayOnxU25nYTeayXFzAYqi3c5VGF0LaRlcd6eUew5rX1dn2jH+r1&#10;idLauUP+gIu+0vmerrL2ol4fqk7oQyUSPu16fQtj1ImtPsRukjp9rjrQyIr5zcFeqA6wt/qqXW+P&#10;FIyFr8tEjX2BeaQyzTv1uYoww3YhFZwHZVqpf3DsSCew+s3B/sIj7HThExI+ytMVopX6ARofGJn+&#10;yNSFfo3/A2vR0T6nhu93ww5KW2vgd/0OfE7q72E2avrDYLVD9n8c/DEVe9qpJfg46QI+UzU+MbDn&#10;alz4nzp4qOkfwGtz929VHHbhhhE+UQfiXzfeDrDm8WKu9bOV8xVHGDH3h2ccJGW/1q7bv2TfVQzt&#10;yfYF8QgKkevw6bYjGx916uMdBW8Pm/9pvGF9PHV3hGfxHs0W6wlIUIwOYYjh79GrYOlBNaLUnbFh&#10;pj9ELURYUEVaqDm4Ehz6bNs/i48dif1rPa1y7G2vu8cNs4SowIzbOk93DRneUKRZWoub7WtfYP8S&#10;OjClsBYkOF2UfVRSJo5hxmiSvTiuIWOMWF/XpQOFDpzdashd5YcIQXRn1Q471c4YAjvtvlHvSJfG&#10;V2INzaPdWQ1by0m1YoCYR7oqSvf2vQ5MdjVs0FmxWcTkVAsVJDBCVZaBHer4pQZ2FHbZpOOIHoy3&#10;GhPE0yyAEbR3zax3oQ/Y3YmjAIaxGnbX9yKad53BqZsd8BFXniEs9hEl1wCnnJCeeg9mZYvugadq&#10;icgZJzOdPpRFLfIJNpgqbUTrsE8GC3aJdc6nZrQJKX0PIWNYxwTpRPkw4gjVa+CnbOBjmy0Xd93p&#10;hwRI8lgmQ0SHHEiNCsiwsK8RiutYPhUQeL3IlNThnxE/H9jVqaSMcIPVIh2jVdM/VR2IWRH11o03&#10;VUzoD7tTM18ZrQeHNtAxdSU+GZWK/kgT1ghuRl37fgwXvkYtZAwB+isEXZX4ZGyMU3cPngRbfQds&#10;tDrQJeRaGB0GC11jXRwHUsZYZiIH32WioCMTTOrZAPqXgz0XJoNut/6JCwt7nl4eMzSpFxDk+K0b&#10;6iB+sHdsb1yEG0EGh5wuqkMhZmYH1EExwQVg79xB68G5YIo4qFTttZC1rlfXnMD36g0B+yL1Fsa+&#10;3sF2JcNyMIsJveoNbjoR9aY8neJ6JyFlnnr3I2VLB8cmYXg4tDUuU0aUap2xVEjr3bxU/DVFqnVi&#10;qljqXdNUZdX6vBllWOtMg7msnq1z0jMaPG9KbGgBb0CvyJmT2ZJVOjRm1wHFgTTi5Lcj8x9bEdFN&#10;H972p36cm86JUckaF7cofXxmVXVLseLiXmvrRTDN2nphbb1IpIdZWteRN5kvvTJrXNh07zYS/WAR&#10;s7YeJO6bPYlYn2CaOUn1k85cPOz3nx/ZeCQneXp5HVriizhSMYRBz8kgWqpksHiaxb1ksAimkcEn&#10;I4MoueAEdSODn/9gcZ17z8kgWqpksHjuwr1ksAimkcEnI4MBqjpMsNWI4AOIIGJgEsGj1WSiv8TR&#10;QvasUgaLpyfcSwaLYBoZLMjg49V5ojKJUh6ocqC6s9QZRaEHFhi0M4qKM7umaZ3RbICXK/TUkdvV&#10;mPlt8/F0p3V5M8MnVJ7tttqt2xZl5UWXC9HluqVoXUD0Oc/06XTK4TzP9AGMVgIJEampQdWo5UtQ&#10;dRuKUXEQ+JVe4dKXy8Va1456urQES+tcrJO5pDwsnmoebgjWMEkqJ41gPG1NYvN4laqLEtaNutN5&#10;zEbFfz6bKJiRiM27POyOEOM94Gscm49wEfCFjs1HuAHv9N/nOmtMyefczhBdi4BNIdqH0D3Suhau&#10;UuECFevQpPdH799NR88nf5ndDMJ1flSCjdfxnhITuFQ0mgx4FloFbJ0VprEY4LzIlrhAXOpDi1jc&#10;6gSeq2tygFB8rle4ci/lVhpRAXpKIiYhrbsmCcr0ftkwdUYTb6TeloT1jQUsymDzNgUJm2vJaZuG&#10;faFttDUDEpq84lmmyp3YVAEkYIh8VKpgG+1g7Pq8hCavJAXNExYMu5kStmh0ogmXNkswXP8oB2Mb&#10;3WlinzCVDgneFMfLSbB4JzIuhCvlGKY1EkI6zrAVEen9MupxmQD1tljUNzpRjyvHPE7MM3psEY3O&#10;SF7IjXbFT2IqrwRHUdmYBcPMQ19YShpZSfHSmAQmrwg0LymY4qsyIGVtTvTQnyjEzEjAnLiReosb&#10;bRGMxFJeMc78hCFggiA3ClIzEsnGKAlNXjFsYijU02VUK2sLKlGzL+QSCM9dCOwTEjYp6BxP5tha&#10;YpoyOeHMe/asxKS35WPUmSsFxRQQQ0r2orak1EiCklcEmB8QmolSBLSP0NKNhoadlezyC/kuA5x9&#10;oAxIWZsTi/J8UNm1hVLf6AabjABqJ7N8xI2SAagYMykilCSQV0RpvTYF0aInLN71jU54s6LOwSYe&#10;lYPBbkyDhfWHJKbyivC2e1XE8OsbnfC2+0IkbK6KvbtxK9jCeHHlqj1/jkfIhWXmhW6w6QkpezyX&#10;QkZzQp6lL1706LUUj/p5LV3pm8tShzAHFStFXvGI0PtkqUvANFnqp5Olxh46u1YUoh6LVLE9EQRn&#10;hED2dJYaBdzWA//0LDU2+tF7Mpnsi0x6uZ0ml+9MUwMG8tRlkJ5nICFAS2FBBzSJalt33SRfmgWJ&#10;ZhFGrEOxs/1QWUkbizSS2EhiI4npBkgjDzowMIcY6TTzp2SstYdQlbLmww2wp53EvyYzwAGdSKvY&#10;cPjuRqcwB1kqEyxKMBzHipQNp+O2CIf5CRTGi1ibyxOqWt1Qt4BkPpcGlEuSM7W2ybbzHOUAubQ6&#10;Yc/nUeXA+6VjSlrdw1d+RKYL6hvdUC9jDx4PsbTNfeT5PBscFxdyeF9UssG3Wir4gAHqbV9Y3+g0&#10;Qj6MIAebkha0KSV5ITfaTbJyhPKKUhGYEi1xOalwaXVD3YIXUsEDynEbU2sbqeA5ygFyaXXCXtew&#10;GeKYSnZLZN6Mx/tnC63uUsGAcNZBJvlX3+iGOiWMJHvweCQj5flccknK9cQvitcPk63SaQf5IHfn&#10;9Q7qbmmlHFqdRonD0swM5cDz6SM45CpDWM0kejaR8mEvtzalbB/JSYdbs+MA7HqpEBA7rhxjW7px&#10;s9sbeMLyoJyaHd9gxyDpbVdVaJ95MvdJs7ugKH6Gpi4PqarVcQDMRTn8mV/kzOT5X3J9Kg2c6SXj&#10;lBxJmN6Xz1FvXtSk3naY9Y1Og+SDInKwyZdDYjQjKHw2ULLdX2IqrxhvApMTE4ZT2eqGugUvZoIH&#10;lONrptY2EsKbcnOAXFqdsOejtPLgS8fEx1IyydzA8xQKr5bh0BRaRhKNW8EW7MHjkYzE1Er4XHJJ&#10;yvVsFZg1bPif3pfPlfS2g8HeUaPNxeKHaHQaoeKDvwT16hsdYbMCyQqX4kXi3AvZWrtbJqwEaWMm&#10;JAK7q02jVGPZRke8CYxcomUwwlexL4Q5dzapfDIqwGVUDo59NJhXtTrhjrNcNVnoW2GWV+obnWDr&#10;tSLtDQrM6xvdYJMFysFmuyrEDzJtsDCNbrDZi5VgWP/IRo5WzQidYBMUOindkruuzQkw8QMdAWIB&#10;09xiCTfDOYRxEqRJ/SGvSJswdoK5iaTSV876z04Y02RJIDSrso24aAuMecZxnlZm3PWNTkjzcVrS&#10;AahvdIPNXpWYL15okw47C2gSU8h5k1c0i/rzzNqXFzThSEZaPY55aIROeGNvsgHuySyUQ6sbeJz/&#10;q3FHNiIzn8qhdSvwyIAI8MTj+Vbicmp1BJ99xEqm/dBeHjwRcivwTPsccYiV8iTLtjpiT9KHeEIQ&#10;p7LVmFM38PYgeAG9tnEr2JIpGbYoOTHpXjDYFkaZfWnJMuWNpD/LYGMYv/D6EshYrr5EJzqq6kt+&#10;nm83ekUwTX3J06kvwZmz1r3F0c2kG5LyEqUr20x5CY451PcgRj9DeUnJDseLTFGILi+JWMdmKlDO&#10;M10QsOrqkhJAzzO9om4CCYg3tSV2CpsV7WZFu1nRbmpLsHQPVdBs/v6CNrwnvq+uktK++89TpKGX&#10;p7CvEFa5bFshMqsm4LVl9NUpU/5cgszR2oUEEY+zk09LZXowtYti+FyAxkSmZriRznK2USHD3qJG&#10;g1HEt8Ey4RkPxrorlABgelCjE97IFWi8c2BoMPKFnOHeAm9kcwxsEUBxoyQUw96C3pxhlFkNHoyc&#10;4DyPyLlMOUZQkEJhUDC9L5+j3pxul4EzV3DQsfZ21pE20bRIvgomockrgm0/diFykbZRROoMG+40&#10;OcoSmrwi2B4lWySh7BqeqCji/A71dOIorieRsJkmuUaiyRZ42w8cSWElFsbqSVY8SDNQoxPevFgj&#10;wSBJaaZNvJDPdN8Cby7tkMPnb/3lGkn0qNEJb/4IhgTDx+/mGnnW3fmEc5747lmGtLZRMCZ/KmML&#10;/rYfExGpG96JJAUKo9CTkMik5OhUQoUEW3uU3paPUWf+QobQULyIJLQtcSrlPp1mhbLykLMM4bhN&#10;EJMAQzxcRZdoIZULZzGFAHCS0VpGOXh5RaQgxqMjh6zW4ooU+TYuR9wCZ3zrzEygIDPLsj2MU0we&#10;NToRmiVUgmH2xy7fDPn5WxZb4M1VR3L4yQnbWdjmkFnwaHJik6SwvKKhKvu1FTFtir9ZJ9+pv5ao&#10;KbgF7jpFkUpNOqHcKhjTgt+Cv3lxQggJf/5JEJ1l17Tl5hOXv/DMKAwXZUZ/+qd///F//hlpJbRU&#10;JUYHalBMavLeu+vB9WD4q+HN8jf6m8K/fzF48/LkYnBy2LtdrsfT4ZWHL6fgo6nRwH82R1d0fqYG&#10;XilEmSYt7fLdyfF3p/j/Ra+4GfDgtL9/XtZ+9uLV/sXJ89N+yc1X5/3X/YvBRf8PF73Ts/P+i8JQ&#10;vt8/fdPvKUGAi/3jwff989cnZy976muByvP+/puLk6O3g6PT/ePeV7c3X2UhXvRfvDrdv+gPDvDP&#10;8dn5W0um0k4nLw/7f+hZCma7vD49OewPTgBucPDyoudn77l+DlyPeVD1TXAlwJp5TZ8x02/sByZ6&#10;b/Tyw+vlqxXUnr5a46eOm2zqdHF5qY9YI0OkYnyyh5SYzbviK3j6yA46fY4qyCCl9uncUci6+N5E&#10;ZfYkOi3QfFqyful8cTSdzYwCdjpYfPPx3UfG+91i/MOrVWt2Ml/DZ8b3jWDhNubCU229oLnK3nmX&#10;vfO4e2mhXaVE6/NgPkWiL7MMVSfRl09XoheryU1ruly/v2mNF7PFqrWeblrDm8nm163RYr4GK002&#10;71et4Xi6nK5H0/lVazKbbr4ujJ6UQCQOem6UwODeSgAbee36cVYJgGvN6ks3+UhYowTaqr17u1iN&#10;l6vFaLJeg0dfXw+XE6hAVrzQWNMxyi8QM+aUALz8SiUAM1zg9E8z62UQG7NOjlFi+78ws45vaHKk&#10;hV+2aC4r1fAuybRT9q0x7eNd+HSOUo34OCfV8EMqpdqvlup7mPYyiI8u1Y1pPz9782pwcHbY781L&#10;A7SH9u8h/hyfa/PO8XhWEcBCUXGFZ/IAjSLYQhGgrDevCBAyVSkC7y7bPi3cuCNcn2rHvghGin4B&#10;GMXhwrNoXOX7uMr4biQiZZ1Ng2TZExez8pQaVpvIbdxlV8Oq111yhhXRfpU8DcrM4Ke5y2UQpXQ9&#10;QhasMaxPzbD6URsr5bSWwV94z365oaNPgTWGNfJtydsXoQh2b5dXe7dXS1PZcbUaLq+no8PhZpi9&#10;xu/b5d7EW1wvZuPJ6t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AMdAABbQ29udGVudF9UeXBlc10ueG1sUEsBAhQACgAAAAAAh07iQAAAAAAA&#10;AAAAAAAAAAYAAAAAAAAAAAAQAAAA5RsAAF9yZWxzL1BLAQIUABQAAAAIAIdO4kCKFGY80QAAAJQB&#10;AAALAAAAAAAAAAEAIAAAAAkcAABfcmVscy8ucmVsc1BLAQIUAAoAAAAAAIdO4kAAAAAAAAAAAAAA&#10;AAAEAAAAAAAAAAAAEAAAAAAAAABkcnMvUEsBAhQAFAAAAAgAh07iQPgYO53XAAAACAEAAA8AAAAA&#10;AAAAAQAgAAAAIgAAAGRycy9kb3ducmV2LnhtbFBLAQIUABQAAAAIAIdO4kDWsy4TkxoAAOHIAAAO&#10;AAAAAAAAAAEAIAAAACYBAABkcnMvZTJvRG9jLnhtbFBLBQYAAAAABgAGAFkBAAArHgAAAAA=&#10;">
                <o:lock v:ext="edit" aspectratio="f"/>
                <v:line id="直接连接符 83" o:spid="_x0000_s1026" o:spt="20" alt="KSO_WM_UNIT_INDEX=1_1&amp;KSO_WM_UNIT_TYPE=n_i&amp;KSO_WM_UNIT_ID=wpsdiag20161027_3*n_i*1_1&amp;KSO_WM_UNIT_LAYERLEVEL=1_1&amp;KSO_WM_UNIT_CLEAR=1&amp;KSO_WM_TAG_VERSION=1.0&amp;KSO_WM_BEAUTIFY_FLAG=#wm#&amp;KSO_WM_TEMPLATE_CATEGORY=wpsdiag&amp;KSO_WM_TEMPLATE_INDEX=20161027&amp;KSO_WM_SLIDE_ITEM_CNT=3&amp;KSO_WM_DIAGRAM_GROUP_CODE=n1_1&amp;KSO_WM_UNIT_LINE_FORE_SCHEMECOLOR_INDEX=7&amp;KSO_WM_UNIT_LINE_BACK_SCHEMECOLOR_INDEX=0&amp;KSO_WM_UNIT_LINE_FILL_TYPE=1" style="position:absolute;left:25400;top:8636;height:6248;width:0;" filled="f" stroked="t" coordsize="21600,21600" o:gfxdata="UEsDBAoAAAAAAIdO4kAAAAAAAAAAAAAAAAAEAAAAZHJzL1BLAwQUAAAACACHTuJAv+iYmb0AAADb&#10;AAAADwAAAGRycy9kb3ducmV2LnhtbEWPy2rDMBBF94H+g5hCd4mUuoTgRAm00NaLkuC81oM1sU2t&#10;kbFU2/37qFDI8nIfh7vejrYRPXW+dqxhPlMgiAtnai41nI7v0yUIH5ANNo5Jwy952G4eJmtMjRs4&#10;p/4QShFH2KeooQqhTaX0RUUW/cy1xNG7us5iiLIrpelwiOO2kc9KLaTFmiOhwpbeKiq+Dz82Qvbm&#10;VV1OX4E/+mW+uxxfss9zpvXT41ytQAQawz38386MhiSB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iZvQAA&#10;ANsAAAAPAAAAAAAAAAEAIAAAACIAAABkcnMvZG93bnJldi54bWxQSwECFAAUAAAACACHTuJAMy8F&#10;njsAAAA5AAAAEAAAAAAAAAABACAAAAAMAQAAZHJzL3NoYXBleG1sLnhtbFBLBQYAAAAABgAGAFsB&#10;AAC2AwAAAAA=&#10;">
                  <v:fill on="f" focussize="0,0"/>
                  <v:stroke weight="0.5pt" color="#000000" joinstyle="miter" dashstyle="dash"/>
                  <v:imagedata o:title=""/>
                  <o:lock v:ext="edit" aspectratio="f"/>
                </v:line>
                <v:shape id="椭圆 84" o:spid="_x0000_s1026" o:spt="3" alt="KSO_WM_UNIT_INDEX=1_2&amp;KSO_WM_UNIT_TYPE=n_i&amp;KSO_WM_UNIT_ID=wpsdiag20161027_3*n_i*1_2&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type="#_x0000_t3" style="position:absolute;left:26479;top:2603;height:5512;width:5645;v-text-anchor:middle;" fillcolor="#303030" filled="t" stroked="f" coordsize="21600,21600" o:gfxdata="UEsDBAoAAAAAAIdO4kAAAAAAAAAAAAAAAAAEAAAAZHJzL1BLAwQUAAAACACHTuJA9ztls78AAADb&#10;AAAADwAAAGRycy9kb3ducmV2LnhtbEWPQWvCQBSE7wX/w/KE3uom1YpGV6FioRR6aBTF2zP7TILZ&#10;tzG7jem/d4WCx2FmvmHmy85UoqXGlZYVxIMIBHFmdcm5gu3m42UCwnlkjZVlUvBHDpaL3tMcE22v&#10;/ENt6nMRIOwSVFB4XydSuqwgg25ga+LgnWxj0AfZ5FI3eA1wU8nXKBpLgyWHhQJrWhWUndNfoyBd&#10;H8bD0fv+Infd8atq4++3tZ8q9dyPoxkIT51/hP/bn1rBcAT3L+EH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7ZbO/&#10;AAAA2wAAAA8AAAAAAAAAAQAgAAAAIgAAAGRycy9kb3ducmV2LnhtbFBLAQIUABQAAAAIAIdO4kAz&#10;LwWeOwAAADkAAAAQAAAAAAAAAAEAIAAAAA4BAABkcnMvc2hhcGV4bWwueG1sUEsFBgAAAAAGAAYA&#10;WwEAALgDAAAAAA==&#10;">
                  <v:fill on="t" opacity="32895f" focussize="0,0"/>
                  <v:stroke on="f" weight="1pt"/>
                  <v:imagedata o:title=""/>
                  <o:lock v:ext="edit" aspectratio="f"/>
                </v:shape>
                <v:shape id="椭圆 85" o:spid="_x0000_s1026" o:spt="3" alt="KSO_WM_UNIT_INDEX=1_3&amp;KSO_WM_UNIT_TYPE=n_i&amp;KSO_WM_UNIT_ID=wpsdiag20161027_3*n_i*1_3&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type="#_x0000_t3" style="position:absolute;left:18605;top:2603;height:5512;width:5645;v-text-anchor:middle;" fillcolor="#303030" filled="t" stroked="f" coordsize="21600,21600" o:gfxdata="UEsDBAoAAAAAAIdO4kAAAAAAAAAAAAAAAAAEAAAAZHJzL1BLAwQUAAAACACHTuJAmHfAKL8AAADb&#10;AAAADwAAAGRycy9kb3ducmV2LnhtbEWPQWvCQBSE7wX/w/KE3uomtYpGV6FioRQ8NIri7Zl9JsHs&#10;25jdxvTfu4WCx2FmvmHmy85UoqXGlZYVxIMIBHFmdcm5gt3242UCwnlkjZVlUvBLDpaL3tMcE21v&#10;/E1t6nMRIOwSVFB4XydSuqwgg25ga+LgnW1j0AfZ5FI3eAtwU8nXKBpLgyWHhQJrWhWUXdIfoyBd&#10;H8fDt/fDVe6701fVxpvR2k+Veu7H0QyEp84/wv/tT61gOIK/L+EH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3wCi/&#10;AAAA2wAAAA8AAAAAAAAAAQAgAAAAIgAAAGRycy9kb3ducmV2LnhtbFBLAQIUABQAAAAIAIdO4kAz&#10;LwWeOwAAADkAAAAQAAAAAAAAAAEAIAAAAA4BAABkcnMvc2hhcGV4bWwueG1sUEsFBgAAAAAGAAYA&#10;WwEAALgDAAAAAA==&#10;">
                  <v:fill on="t" opacity="32895f" focussize="0,0"/>
                  <v:stroke on="f" weight="1pt"/>
                  <v:imagedata o:title=""/>
                  <o:lock v:ext="edit" aspectratio="f"/>
                </v:shape>
                <v:shape id="椭圆 86" o:spid="_x0000_s1026" o:spt="3" alt="KSO_WM_UNIT_INDEX=1_4&amp;KSO_WM_UNIT_TYPE=n_i&amp;KSO_WM_UNIT_ID=wpsdiag20161027_3*n_i*1_4&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type="#_x0000_t3" style="position:absolute;left:14097;top:2603;height:5512;width:5645;v-text-anchor:middle;" fillcolor="#9DC3E6" filled="t" stroked="f" coordsize="21600,21600" o:gfxdata="UEsDBAoAAAAAAIdO4kAAAAAAAAAAAAAAAAAEAAAAZHJzL1BLAwQUAAAACACHTuJA5QT2cbwAAADb&#10;AAAADwAAAGRycy9kb3ducmV2LnhtbEWP3YrCMBSE7xd8h3AE77apK4hWo4goiIvi3wMcm2NbbE66&#10;SfzZtzfCwl4OM/MNM54+TS3u5HxlWUE3SUEQ51ZXXCg4HZefAxA+IGusLZOCX/IwnbQ+xphp++A9&#10;3Q+hEBHCPkMFZQhNJqXPSzLoE9sQR+9incEQpSukdviIcFPLrzTtS4MVx4USG5qXlF8PN6PgMlzP&#10;jrstLbZNxd/Ln427nfCsVKfdTUcgAj3Df/ivvdIKen14f4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E9nG8AAAA&#10;2wAAAA8AAAAAAAAAAQAgAAAAIgAAAGRycy9kb3ducmV2LnhtbFBLAQIUABQAAAAIAIdO4kAzLwWe&#10;OwAAADkAAAAQAAAAAAAAAAEAIAAAAAsBAABkcnMvc2hhcGV4bWwueG1sUEsFBgAAAAAGAAYAWwEA&#10;ALUDAAAAAA==&#10;">
                  <v:fill on="t" focussize="0,0"/>
                  <v:stroke on="f" weight="1pt"/>
                  <v:imagedata o:title=""/>
                  <o:lock v:ext="edit" aspectratio="f"/>
                </v:shape>
                <v:shape id="椭圆 87" o:spid="_x0000_s1026" o:spt="3" alt="KSO_WM_UNIT_INDEX=1_5&amp;KSO_WM_UNIT_TYPE=n_i&amp;KSO_WM_UNIT_ID=wpsdiag20161027_3*n_i*1_5&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type="#_x0000_t3" style="position:absolute;left:30797;top:2603;height:5512;width:5645;v-text-anchor:middle;" fillcolor="#9DC3E6" filled="t" stroked="f" coordsize="21600,21600" o:gfxdata="UEsDBAoAAAAAAIdO4kAAAAAAAAAAAAAAAAAEAAAAZHJzL1BLAwQUAAAACACHTuJAikhT6r4AAADb&#10;AAAADwAAAGRycy9kb3ducmV2LnhtbEWP3WoCMRSE7wt9h3AKvatZW2h1NUopCqJU/HuA4+a4u3Rz&#10;sibZn769KQi9HGbmG2Y6700lWnK+tKxgOEhAEGdWl5wrOB2XLyMQPiBrrCyTgl/yMJ89Pkwx1bbj&#10;PbWHkIsIYZ+igiKEOpXSZwUZ9ANbE0fvYp3BEKXLpXbYRbip5GuSvEuDJceFAmv6Kij7OTRGwWW8&#10;/jzutrTY1iVvltdv15zwrNTz0zCZgAjUh//wvb3SCt4+4O9L/AF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hT6r4A&#10;AADbAAAADwAAAAAAAAABACAAAAAiAAAAZHJzL2Rvd25yZXYueG1sUEsBAhQAFAAAAAgAh07iQDMv&#10;BZ47AAAAOQAAABAAAAAAAAAAAQAgAAAADQEAAGRycy9zaGFwZXhtbC54bWxQSwUGAAAAAAYABgBb&#10;AQAAtwMAAAAA&#10;">
                  <v:fill on="t" focussize="0,0"/>
                  <v:stroke on="f" weight="1pt"/>
                  <v:imagedata o:title=""/>
                  <o:lock v:ext="edit" aspectratio="f"/>
                </v:shape>
                <v:shape id="椭圆 88" o:spid="_x0000_s1026" o:spt="3" alt="KSO_WM_UNIT_INDEX=1_6&amp;KSO_WM_UNIT_TYPE=n_i&amp;KSO_WM_UNIT_ID=wpsdiag20161027_3*n_i*1_6&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type="#_x0000_t3" style="position:absolute;left:9779;top:2603;height:5512;width:5645;v-text-anchor:middle;" fillcolor="#D9D9D9" filled="t" stroked="f" coordsize="21600,21600" o:gfxdata="UEsDBAoAAAAAAIdO4kAAAAAAAAAAAAAAAAAEAAAAZHJzL1BLAwQUAAAACACHTuJAhvvgubkAAADb&#10;AAAADwAAAGRycy9kb3ducmV2LnhtbEVPTWuDQBC9F/IflinkVlctFLFZhTQtbY9qDjkO7lQl7qy4&#10;G5P467uHQo+P970rb2YUC81usKwgiWIQxK3VA3cKjs3HUwbCeWSNo2VScCcHZbF52GGu7ZUrWmrf&#10;iRDCLkcFvfdTLqVrezLoIjsRB+7HzgZ9gHMn9YzXEG5GmcbxizQ4cGjocaK3ntpzfTEKqn1WN4cT&#10;vqef3UruO1s5uTRKbR+T+BWEp5v/F/+5v7SC5zA2fAk/QB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74Lm5AAAA2wAA&#10;AA8AAAAAAAAAAQAgAAAAIgAAAGRycy9kb3ducmV2LnhtbFBLAQIUABQAAAAIAIdO4kAzLwWeOwAA&#10;ADkAAAAQAAAAAAAAAAEAIAAAAAgBAABkcnMvc2hhcGV4bWwueG1sUEsFBgAAAAAGAAYAWwEAALID&#10;AAAAAA==&#10;">
                  <v:fill on="t" opacity="26213f" focussize="0,0"/>
                  <v:stroke on="f" weight="1pt"/>
                  <v:imagedata o:title=""/>
                  <o:lock v:ext="edit" aspectratio="f"/>
                </v:shape>
                <v:shape id="椭圆 89" o:spid="_x0000_s1026" o:spt="3" alt="KSO_WM_UNIT_INDEX=1_7&amp;KSO_WM_UNIT_TYPE=n_i&amp;KSO_WM_UNIT_ID=wpsdiag20161027_3*n_i*1_7&amp;KSO_WM_UNIT_LAYERLEVEL=1_1&amp;KSO_WM_UNIT_CLEAR=1&amp;KSO_WM_TAG_VERSION=1.0&amp;KSO_WM_BEAUTIFY_FLAG=#wm#&amp;KSO_WM_TEMPLATE_CATEGORY=wpsdiag&amp;KSO_WM_TEMPLATE_INDEX=20161027&amp;KSO_WM_SLIDE_ITEM_CNT=3&amp;KSO_WM_DIAGRAM_GROUP_CODE=n1_1&amp;KSO_WM_UNIT_FILL_FORE_SCHEMECOLOR_INDEX=5&amp;KSO_WM_UNIT_FILL_BACK_SCHEMECOLOR_INDEX=0&amp;KSO_WM_UNIT_FILL_TYPE=1" type="#_x0000_t3" style="position:absolute;left:35306;top:2603;height:5512;width:5645;v-text-anchor:middle;" fillcolor="#D9D9D9" filled="t" stroked="f" coordsize="21600,21600" o:gfxdata="UEsDBAoAAAAAAIdO4kAAAAAAAAAAAAAAAAAEAAAAZHJzL1BLAwQUAAAACACHTuJA6bdFIrsAAADb&#10;AAAADwAAAGRycy9kb3ducmV2LnhtbEWPS4vCQBCE74L/YWjBm06iIDHrKPhCPZp42GOT6U3CZnpC&#10;Znz+ekdY2GNRVV9Ri9XDNOJGnastK4jHEQjiwuqaSwWXfD9KQDiPrLGxTAqe5GC17PcWmGp75zPd&#10;Ml+KAGGXooLK+zaV0hUVGXRj2xIH78d2Bn2QXSl1h/cAN42cRNFMGqw5LFTY0qai4je7GgXndZLl&#10;22/cTQ7li9wpeXF8zZUaDuLoC4Snh/8P/7WPWsF0Dp8v4Q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dFIrsAAADb&#10;AAAADwAAAAAAAAABACAAAAAiAAAAZHJzL2Rvd25yZXYueG1sUEsBAhQAFAAAAAgAh07iQDMvBZ47&#10;AAAAOQAAABAAAAAAAAAAAQAgAAAACgEAAGRycy9zaGFwZXhtbC54bWxQSwUGAAAAAAYABgBbAQAA&#10;tAMAAAAA&#10;">
                  <v:fill on="t" opacity="26213f" focussize="0,0"/>
                  <v:stroke on="f" weight="1pt"/>
                  <v:imagedata o:title=""/>
                  <o:lock v:ext="edit" aspectratio="f"/>
                </v:shape>
                <v:group id="组合 90" o:spid="_x0000_s1026" o:spt="203" style="position:absolute;left:25781;top:7302;height:7976;width:18402;" coordorigin="21292,4039" coordsize="11295,1500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line id="直接连接符 91" o:spid="_x0000_s1026" o:spt="20" alt="KSO_WM_UNIT_INDEX=1_8&amp;KSO_WM_UNIT_TYPE=n_i&amp;KSO_WM_UNIT_ID=wpsdiag20161027_3*n_i*1_8&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style="position:absolute;left:21292;top:4039;height:5858;width:0;" filled="f" stroked="t" coordsize="21600,21600" o:gfxdata="UEsDBAoAAAAAAIdO4kAAAAAAAAAAAAAAAAAEAAAAZHJzL1BLAwQUAAAACACHTuJAFzx1k7kAAADb&#10;AAAADwAAAGRycy9kb3ducmV2LnhtbEVPS2vCQBC+F/wPywje6q5FRKKroNA2h1LxeR6y0yQ0Oxuy&#10;a7T/vnMQPH587+X67hvVUxfrwBYmYwOKuAiu5tLC6fj+OgcVE7LDJjBZ+KMI69XgZYmZCzfeU39I&#10;pZIQjhlaqFJqM61jUZHHOA4tsXA/ofOYBHaldh3eJNw3+s2YmfZYszRU2NK2ouL3cPVSsnMbczl9&#10;Jf7o5/vvy3Gaf55za0fDiVmASnRPT/HDnTsLU1kvX+QH6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8dZO5AAAA2wAA&#10;AA8AAAAAAAAAAQAgAAAAIgAAAGRycy9kb3ducmV2LnhtbFBLAQIUABQAAAAIAIdO4kAzLwWeOwAA&#10;ADkAAAAQAAAAAAAAAAEAIAAAAAgBAABkcnMvc2hhcGV4bWwueG1sUEsFBgAAAAAGAAYAWwEAALID&#10;AAAAAA==&#10;">
                    <v:fill on="f" focussize="0,0"/>
                    <v:stroke weight="0.5pt" color="#000000" joinstyle="miter" dashstyle="dash"/>
                    <v:imagedata o:title=""/>
                    <o:lock v:ext="edit" aspectratio="f"/>
                  </v:line>
                  <v:line id="直接连接符 92" o:spid="_x0000_s1026" o:spt="20" alt="KSO_WM_UNIT_INDEX=1_9&amp;KSO_WM_UNIT_TYPE=n_i&amp;KSO_WM_UNIT_ID=wpsdiag20161027_3*n_i*1_9&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style="position:absolute;left:21292;top:9897;height:0;width:11296;" filled="f" stroked="t" coordsize="21600,21600" o:gfxdata="UEsDBAoAAAAAAIdO4kAAAAAAAAAAAAAAAAAEAAAAZHJzL1BLAwQUAAAACACHTuJAeHDQCLsAAADb&#10;AAAADwAAAGRycy9kb3ducmV2LnhtbEWPS4vCMBSF98L8h3CF2WlSEZGOUVAYp4tB8bm+NHfaYnNT&#10;mkzVf28EweXhPD7ObHGzteio9ZVjDclQgSDOnam40HA8fA+mIHxANlg7Jg138rCYf/RmmBp35R11&#10;+1CIOMI+RQ1lCE0qpc9LsuiHriGO3p9rLYYo20KaFq9x3NZypNREWqw4EkpsaFVSftn/2wjZmqU6&#10;H38Dr7vpbnM+jLOfU6b1Zz9RXyAC3cI7/GpnRsM4geeX+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DQCLsAAADb&#10;AAAADwAAAAAAAAABACAAAAAiAAAAZHJzL2Rvd25yZXYueG1sUEsBAhQAFAAAAAgAh07iQDMvBZ47&#10;AAAAOQAAABAAAAAAAAAAAQAgAAAACgEAAGRycy9zaGFwZXhtbC54bWxQSwUGAAAAAAYABgBbAQAA&#10;tAMAAAAA&#10;">
                    <v:fill on="f" focussize="0,0"/>
                    <v:stroke weight="0.5pt" color="#000000" joinstyle="miter" dashstyle="dash"/>
                    <v:imagedata o:title=""/>
                    <o:lock v:ext="edit" aspectratio="f"/>
                  </v:line>
                  <v:line id="直接连接符 93" o:spid="_x0000_s1026" o:spt="20" alt="KSO_WM_UNIT_INDEX=1_10&amp;KSO_WM_UNIT_TYPE=n_i&amp;KSO_WM_UNIT_ID=wpsdiag20161027_3*n_i*1_10&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style="position:absolute;left:32554;top:9897;flip:x;height:9144;width:0;" filled="f" stroked="t" coordsize="21600,21600" o:gfxdata="UEsDBAoAAAAAAIdO4kAAAAAAAAAAAAAAAAAEAAAAZHJzL1BLAwQUAAAACACHTuJAHt3AtbwAAADb&#10;AAAADwAAAGRycy9kb3ducmV2LnhtbEWPQWvCQBSE70L/w/IKveluQlGJriItFdGTWqjHR/aZBLNv&#10;Q3abpP++Kwgeh5n5hlmuB1uLjlpfOdaQTBQI4tyZigsN3+ev8RyED8gGa8ek4Y88rFcvoyVmxvV8&#10;pO4UChEh7DPUUIbQZFL6vCSLfuIa4uhdXWsxRNkW0rTYR7itZarUVFqsOC6U2NBHSfnt9Gs19PvU&#10;bofLRXn7c/jcdCHZzba11m+viVqACDSEZ/jR3hkN7yncv8Qf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dwLW8AAAA&#10;2wAAAA8AAAAAAAAAAQAgAAAAIgAAAGRycy9kb3ducmV2LnhtbFBLAQIUABQAAAAIAIdO4kAzLwWe&#10;OwAAADkAAAAQAAAAAAAAAAEAIAAAAAsBAABkcnMvc2hhcGV4bWwueG1sUEsFBgAAAAAGAAYAWwEA&#10;ALUDAAAAAA==&#10;">
                    <v:fill on="f" focussize="0,0"/>
                    <v:stroke weight="0.5pt" color="#000000" joinstyle="miter" dashstyle="dash"/>
                    <v:imagedata o:title=""/>
                    <o:lock v:ext="edit" aspectratio="f"/>
                  </v:line>
                </v:group>
                <v:group id="组合 94" o:spid="_x0000_s1026" o:spt="203" style="position:absolute;left:6858;top:7493;flip:x;height:7429;width:18161;" coordorigin="5136,4138" coordsize="11295,15001" o:gfxdata="UEsDBAoAAAAAAIdO4kAAAAAAAAAAAAAAAAAEAAAAZHJzL1BLAwQUAAAACACHTuJAzINCVr0AAADb&#10;AAAADwAAAGRycy9kb3ducmV2LnhtbEWPQWvCQBSE7wX/w/KE3ppdS6glugkiWKT00ljF4yP7TBaz&#10;b0N2q/bfdwsFj8PMfMMsq5vrxYXGYD1rmGUKBHHjjeVWw9du8/QKIkRkg71n0vBDAapy8rDEwvgr&#10;f9Kljq1IEA4FauhiHAopQ9ORw5D5gTh5Jz86jEmOrTQjXhPc9fJZqRfp0HJa6HCgdUfNuf52GvYr&#10;m1N+OL5/qIZoa+Txrba51o/TmVqAiHSL9/B/e2s05HP4+5J+gC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INCVr0AAADbAAAADwAAAAAAAAABACAAAAAiAAAAZHJzL2Rvd25yZXYueG1s&#10;UEsBAhQAFAAAAAgAh07iQDMvBZ47AAAAOQAAABUAAAAAAAAAAQAgAAAADAEAAGRycy9ncm91cHNo&#10;YXBleG1sLnhtbFBLBQYAAAAABgAGAGABAADJAwAAAAA=&#10;">
                  <o:lock v:ext="edit" aspectratio="f"/>
                  <v:line id="直接连接符 95" o:spid="_x0000_s1026" o:spt="20" alt="KSO_WM_UNIT_INDEX=1_11&amp;KSO_WM_UNIT_TYPE=n_i&amp;KSO_WM_UNIT_ID=wpsdiag20161027_3*n_i*1_11&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style="position:absolute;left:5136;top:4138;height:5858;width:0;" filled="f" stroked="t" coordsize="21600,21600" o:gfxdata="UEsDBAoAAAAAAIdO4kAAAAAAAAAAAAAAAAAEAAAAZHJzL1BLAwQUAAAACACHTuJAaAdzkLsAAADb&#10;AAAADwAAAGRycy9kb3ducmV2LnhtbEWPS4vCMBSF98L8h3AHZqeJUkSqUXBgnC4Gxef60lzbYnNT&#10;mkzVf28EweXhPD7ObHGzteio9ZVjDcOBAkGcO1NxoeGw/+lPQPiAbLB2TBru5GEx/+jNMDXuylvq&#10;dqEQcYR9ihrKEJpUSp+XZNEPXEMcvbNrLYYo20KaFq9x3NZypNRYWqw4Ekps6Luk/LL7txGyMUt1&#10;OvwFXnWT7fq0T7LfY6b11+dQTUEEuoV3+NXOjIYkgeeX+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dzkLsAAADb&#10;AAAADwAAAAAAAAABACAAAAAiAAAAZHJzL2Rvd25yZXYueG1sUEsBAhQAFAAAAAgAh07iQDMvBZ47&#10;AAAAOQAAABAAAAAAAAAAAQAgAAAACgEAAGRycy9zaGFwZXhtbC54bWxQSwUGAAAAAAYABgBbAQAA&#10;tAMAAAAA&#10;">
                    <v:fill on="f" focussize="0,0"/>
                    <v:stroke weight="0.5pt" color="#000000" joinstyle="miter" dashstyle="dash"/>
                    <v:imagedata o:title=""/>
                    <o:lock v:ext="edit" aspectratio="f"/>
                  </v:line>
                  <v:line id="直接连接符 96" o:spid="_x0000_s1026" o:spt="20" alt="KSO_WM_UNIT_INDEX=1_12&amp;KSO_WM_UNIT_TYPE=n_i&amp;KSO_WM_UNIT_ID=wpsdiag20161027_3*n_i*1_12&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style="position:absolute;left:5136;top:9996;height:0;width:11296;" filled="f" stroked="t" coordsize="21600,21600" o:gfxdata="UEsDBAoAAAAAAIdO4kAAAAAAAAAAAAAAAAAEAAAAZHJzL1BLAwQUAAAACACHTuJAB0vWC70AAADb&#10;AAAADwAAAGRycy9kb3ducmV2LnhtbEWPy2rDMBBF94H+g5hCd4mU4obgRAm00NaLkuC81oM1sU2t&#10;kbFU2/37qFDI8nIfh7vejrYRPXW+dqxhPlMgiAtnai41nI7v0yUIH5ANNo5Jwy952G4eJmtMjRs4&#10;p/4QShFH2KeooQqhTaX0RUUW/cy1xNG7us5iiLIrpelwiOO2kc9KLaTFmiOhwpbeKiq+Dz82Qvbm&#10;VV1OX4E/+mW+uxyT7POcaf30OFcrEIHGcA//tzOjIXmB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S9YLvQAA&#10;ANsAAAAPAAAAAAAAAAEAIAAAACIAAABkcnMvZG93bnJldi54bWxQSwECFAAUAAAACACHTuJAMy8F&#10;njsAAAA5AAAAEAAAAAAAAAABACAAAAAMAQAAZHJzL3NoYXBleG1sLnhtbFBLBQYAAAAABgAGAFsB&#10;AAC2AwAAAAA=&#10;">
                    <v:fill on="f" focussize="0,0"/>
                    <v:stroke weight="0.5pt" color="#000000" joinstyle="miter" dashstyle="dash"/>
                    <v:imagedata o:title=""/>
                    <o:lock v:ext="edit" aspectratio="f"/>
                  </v:line>
                  <v:line id="直接连接符 97" o:spid="_x0000_s1026" o:spt="20" alt="KSO_WM_UNIT_INDEX=1_13&amp;KSO_WM_UNIT_TYPE=n_i&amp;KSO_WM_UNIT_ID=wpsdiag20161027_3*n_i*1_13&amp;KSO_WM_UNIT_LAYERLEVEL=1_1&amp;KSO_WM_UNIT_CLEAR=1&amp;KSO_WM_TAG_VERSION=1.0&amp;KSO_WM_BEAUTIFY_FLAG=#wm#&amp;KSO_WM_TEMPLATE_CATEGORY=wpsdiag&amp;KSO_WM_TEMPLATE_INDEX=20161027&amp;KSO_WM_SLIDE_ITEM_CNT=3&amp;KSO_WM_UNIT_LINE_FORE_SCHEMECOLOR_INDEX=7&amp;KSO_WM_UNIT_LINE_BACK_SCHEMECOLOR_INDEX=0&amp;KSO_WM_UNIT_LINE_FILL_TYPE=1" style="position:absolute;left:16398;top:9996;flip:x;height:9144;width:0;" filled="f" stroked="t" coordsize="21600,21600" o:gfxdata="UEsDBAoAAAAAAIdO4kAAAAAAAAAAAAAAAAAEAAAAZHJzL1BLAwQUAAAACACHTuJAYebGtr0AAADb&#10;AAAADwAAAGRycy9kb3ducmV2LnhtbEWPQWvCQBSE70L/w/IK3nQ3UrREVykVRerJWNDjI/tMgtm3&#10;IbtN4r/vCoUeh5n5hlltBluLjlpfOdaQTBUI4tyZigsN3+fd5B2ED8gGa8ek4UEeNuuX0QpT43o+&#10;UZeFQkQI+xQ1lCE0qZQ+L8min7qGOHo311oMUbaFNC32EW5rOVNqLi1WHBdKbOizpPye/VgN/dfM&#10;7ofrVXl7OW4/upAcFvta6/FropYgAg3hP/zXPhgNb3N4fo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5sa2vQAA&#10;ANsAAAAPAAAAAAAAAAEAIAAAACIAAABkcnMvZG93bnJldi54bWxQSwECFAAUAAAACACHTuJAMy8F&#10;njsAAAA5AAAAEAAAAAAAAAABACAAAAAMAQAAZHJzL3NoYXBleG1sLnhtbFBLBQYAAAAABgAGAFsB&#10;AAC2AwAAAAA=&#10;">
                    <v:fill on="f" focussize="0,0"/>
                    <v:stroke weight="0.5pt" color="#000000" joinstyle="miter" dashstyle="dash"/>
                    <v:imagedata o:title=""/>
                    <o:lock v:ext="edit" aspectratio="f"/>
                  </v:line>
                </v:group>
                <v:shape id="椭圆 98" o:spid="_x0000_s1026" o:spt="3" alt="KSO_WM_UNIT_INDEX=1_14&amp;KSO_WM_UNIT_TYPE=n_i&amp;KSO_WM_UNIT_ID=wpsdiag20161027_3*n_i*1_14&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type="#_x0000_t3" style="position:absolute;left:22161;top:2095;height:6560;width:6483;v-text-anchor:middle;" fillcolor="#2E75B6" filled="t" stroked="f" coordsize="21600,21600" o:gfxdata="UEsDBAoAAAAAAIdO4kAAAAAAAAAAAAAAAAAEAAAAZHJzL1BLAwQUAAAACACHTuJApalp+7oAAADb&#10;AAAADwAAAGRycy9kb3ducmV2LnhtbEVPPU/DMBDdK/EfrEPq1toJCKFQpwNSVDrSIOYjPuIo8TmN&#10;3Tbl1+OhUsen973Zzm4QZ5pC51lDtlYgiBtvOm41fNXV6hVEiMgGB8+k4UoBtuXDYoOF8Rf+pPMh&#10;tiKFcChQg41xLKQMjSWHYe1H4sT9+slhTHBqpZnwksLdIHOlXqTDjlODxZHeLTX94eQ0OJ/vf45q&#10;zupqkPun/viHu+9a6+Vjpt5ARJrjXXxzfxgNz2ls+pJ+gC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qWn7ugAAANsA&#10;AAAPAAAAAAAAAAEAIAAAACIAAABkcnMvZG93bnJldi54bWxQSwECFAAUAAAACACHTuJAMy8FnjsA&#10;AAA5AAAAEAAAAAAAAAABACAAAAAJAQAAZHJzL3NoYXBleG1sLnhtbFBLBQYAAAAABgAGAFsBAACz&#10;AwAAAAA=&#10;">
                  <v:fill on="t" focussize="0,0"/>
                  <v:stroke on="f" weight="1pt"/>
                  <v:imagedata o:title=""/>
                  <o:lock v:ext="edit" aspectratio="f"/>
                </v:shape>
                <v:shape id="KSO_Shape" o:spid="_x0000_s1026" o:spt="100" alt="KSO_WM_UNIT_INDEX=1_15&amp;KSO_WM_UNIT_TYPE=n_i&amp;KSO_WM_UNIT_ID=wpsdiag20161027_3*n_i*1_15&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style="position:absolute;left:23177;top:3683;height:3390;width:4604;v-text-anchor:middle;" fillcolor="#FFFFFF" filled="t" stroked="f" coordsize="4999037,4260141" o:gfxdata="UEsDBAoAAAAAAIdO4kAAAAAAAAAAAAAAAAAEAAAAZHJzL1BLAwQUAAAACACHTuJAq2bKqL8AAADb&#10;AAAADwAAAGRycy9kb3ducmV2LnhtbEWPQWsCMRSE7wX/Q3hCL0UTF2nd1Si0ULS9SNWLt+fmuVnc&#10;vGw3qWv/fVMo9DjMzDfMYnVzjbhSF2rPGiZjBYK49KbmSsNh/zqagQgR2WDjmTR8U4DVcnC3wML4&#10;nj/ououVSBAOBWqwMbaFlKG05DCMfUucvLPvHMYku0qaDvsEd43MlHqUDmtOCxZberFUXnZfToML&#10;788q23zat6xfN8eH/LTNn05a3w8nag4i0i3+h//aG6NhmsPvl/QD5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myqi/&#10;AAAA2wAAAA8AAAAAAAAAAQAgAAAAIgAAAGRycy9kb3ducmV2LnhtbFBLAQIUABQAAAAIAIdO4kAz&#10;LwWeOwAAADkAAAAQAAAAAAAAAAEAIAAAAA4BAABkcnMvc2hhcGV4bWwueG1sUEsFBgAAAAAGAAYA&#10;WwEAALgDAAAAAA==&#10;" path="m1900345,3557911l3097730,3557911,3102535,3590573,3107340,3623235,3113106,3656858,3119833,3691441,3126560,3717378,3134248,3744276,3140975,3769253,3148663,3795190,3158272,3821127,3166921,3846104,3177492,3871081,3189024,3895097,3200556,3919113,3213048,3941208,3226502,3964263,3240917,3984437,3256293,4004610,3271668,4024784,3288966,4042075,3306264,4058406,3318757,4069934,3331249,4079540,3344703,4089147,3358157,4097793,3372572,4106438,3386026,4114123,3402362,4121809,3417738,4127573,3433114,4133336,3450411,4138140,3467709,4142943,3485007,4145825,3504227,4148707,3523446,4151589,3543627,4152549,3564769,4152549,3564769,4260141,1434268,4260141,1434268,4152549,1455409,4152549,1474629,4151589,1493849,4148707,1513068,4145825,1530366,4142943,1547664,4138140,1564962,4133336,1581298,4127573,1596674,4121809,1612050,4114123,1626465,4106438,1639918,4097793,1653372,4089147,1666826,4079540,1679319,4069934,1691811,4058406,1703343,4047839,1715836,4036311,1726407,4024784,1736978,4012295,1757158,3985397,1776378,3956578,1793676,3926798,1809052,3895097,1824427,3863396,1837881,3829773,1849413,3795190,1859984,3761568,1868632,3726984,1878242,3692401,1884969,3657818,1890735,3623235,1896501,3590573,1900345,3557911xm344993,345832l344993,3036592,4655005,3036592,4655005,345832,344993,345832xm142226,0l4857773,0,4872187,961,4885641,2882,4899095,6725,4913510,10567,4925042,17292,4936573,24016,4947144,32662,4957715,42268,4967325,51875,4975974,62442,4982701,73970,4988466,87419,4993271,99907,4996154,113356,4999037,127766,4999037,142175,4999037,3238327,4999037,3253697,4996154,3268106,4993271,3281555,4988466,3295004,4982701,3307493,4975974,3319021,4967325,3329588,4957715,3339194,4947144,3349761,4936573,3357446,4925042,3364171,4913510,3369935,4899095,3374738,4885641,3378580,4872187,3380502,4857773,3381462,142226,3381462,127811,3380502,113396,3378580,99942,3374738,86489,3369935,73996,3364171,62464,3357446,51893,3349761,42283,3339194,31713,3329588,24025,3319021,17298,3307493,11532,3295004,6727,3281555,2883,3268106,961,3253697,0,3238327,0,142175,961,127766,2883,113356,6727,99907,11532,87419,17298,73970,24025,62442,31713,51875,42283,42268,51893,32662,62464,24016,73996,17292,86489,10567,99942,6725,113396,2882,127811,961,142226,0xe">
                  <v:fill on="t" focussize="0,0"/>
                  <v:stroke on="f"/>
                  <v:imagedata o:title=""/>
                  <o:lock v:ext="edit" aspectratio="f"/>
                </v:shape>
                <v:shape id="椭圆 100" o:spid="_x0000_s1026" o:spt="3" alt="KSO_WM_UNIT_INDEX=1_16&amp;KSO_WM_UNIT_TYPE=n_i&amp;KSO_WM_UNIT_ID=wpsdiag20161027_3*n_i*1_16&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type="#_x0000_t3" style="position:absolute;left:42227;top:14414;height:3480;width:3620;v-text-anchor:middle;" fillcolor="#DEEBF7" filled="t" stroked="f" coordsize="21600,21600" o:gfxdata="UEsDBAoAAAAAAIdO4kAAAAAAAAAAAAAAAAAEAAAAZHJzL1BLAwQUAAAACACHTuJA7CJbdrkAAADb&#10;AAAADwAAAGRycy9kb3ducmV2LnhtbEVPTYvCMBC9L/gfwgje1lRBkWoUFBTdBdGq4HFoxrbaTEoT&#10;q/57cxA8Pt73ZPY0pWiodoVlBb1uBII4tbrgTMHxsPwdgXAeWWNpmRS8yMFs2vqZYKztg/fUJD4T&#10;IYRdjApy76tYSpfmZNB1bUUcuIutDfoA60zqGh8h3JSyH0VDabDg0JBjRYuc0ltyNwoOm//j/baY&#10;X/m0Lc9/28TsNs1KqU67F41BeHr6r/jjXmsFg7A+fAk/QE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iW3a5AAAA2wAA&#10;AA8AAAAAAAAAAQAgAAAAIgAAAGRycy9kb3ducmV2LnhtbFBLAQIUABQAAAAIAIdO4kAzLwWeOwAA&#10;ADkAAAAQAAAAAAAAAAEAIAAAAAgBAABkcnMvc2hhcGV4bWwueG1sUEsFBgAAAAAGAAYAWwEAALID&#10;AAAAAA==&#10;">
                  <v:fill on="t" focussize="0,0"/>
                  <v:stroke on="f" weight="1pt"/>
                  <v:imagedata o:title=""/>
                  <o:lock v:ext="edit" aspectratio="f"/>
                </v:shape>
                <v:shape id="椭圆 101" o:spid="_x0000_s1026" o:spt="3" alt="KSO_WM_UNIT_INDEX=1_17&amp;KSO_WM_UNIT_TYPE=n_i&amp;KSO_WM_UNIT_ID=wpsdiag20161027_3*n_i*1_17&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type="#_x0000_t3" style="position:absolute;left:23558;top:14414;height:3480;width:3620;v-text-anchor:middle;" fillcolor="#DEEBF7" filled="t" stroked="f" coordsize="21600,21600" o:gfxdata="UEsDBAoAAAAAAIdO4kAAAAAAAAAAAAAAAAAEAAAAZHJzL1BLAwQUAAAACACHTuJAg27+7b4AAADb&#10;AAAADwAAAGRycy9kb3ducmV2LnhtbEWP3YrCMBSE74V9h3AWvNO0giJdo6Cw4g+IW13Yy0NzbLs2&#10;J6WJVd/eCIKXw8x8w0xmN1OJlhpXWlYQ9yMQxJnVJecKjofv3hiE88gaK8uk4E4OZtOPzgQTba/8&#10;Q23qcxEg7BJUUHhfJ1K6rCCDrm9r4uCdbGPQB9nkUjd4DXBTyUEUjaTBksNCgTUtCsrO6cUoOKy3&#10;x8t5Mf/n3131t9mlZr9ul0p1P+PoC4Snm3+HX+2VVjCM4fkl/A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7+7b4A&#10;AADbAAAADwAAAAAAAAABACAAAAAiAAAAZHJzL2Rvd25yZXYueG1sUEsBAhQAFAAAAAgAh07iQDMv&#10;BZ47AAAAOQAAABAAAAAAAAAAAQAgAAAADQEAAGRycy9zaGFwZXhtbC54bWxQSwUGAAAAAAYABgBb&#10;AQAAtwMAAAAA&#10;">
                  <v:fill on="t" focussize="0,0"/>
                  <v:stroke on="f" weight="1pt"/>
                  <v:imagedata o:title=""/>
                  <o:lock v:ext="edit" aspectratio="f"/>
                </v:shape>
                <v:shape id="椭圆 102" o:spid="_x0000_s1026" o:spt="3" alt="KSO_WM_UNIT_INDEX=1_18&amp;KSO_WM_UNIT_TYPE=n_i&amp;KSO_WM_UNIT_ID=wpsdiag20161027_3*n_i*1_18&amp;KSO_WM_UNIT_LAYERLEVEL=1_1&amp;KSO_WM_UNIT_CLEAR=1&amp;KSO_WM_TAG_VERSION=1.0&amp;KSO_WM_BEAUTIFY_FLAG=#wm#&amp;KSO_WM_TEMPLATE_CATEGORY=wpsdiag&amp;KSO_WM_TEMPLATE_INDEX=20161027&amp;KSO_WM_SLIDE_ITEM_CNT=3&amp;KSO_WM_DIAGRAM_GROUP_CODE=n1_1&amp;KSO_WM_UNIT_FILL_FORE_SCHEMECOLOR_INDEX=6&amp;KSO_WM_UNIT_FILL_BACK_SCHEMECOLOR_INDEX=0&amp;KSO_WM_UNIT_FILL_TYPE=1" type="#_x0000_t3" style="position:absolute;left:4889;top:14414;height:3480;width:3620;v-text-anchor:middle;" fillcolor="#DEEBF7" filled="t" stroked="f" coordsize="21600,21600" o:gfxdata="UEsDBAoAAAAAAIdO4kAAAAAAAAAAAAAAAAAEAAAAZHJzL1BLAwQUAAAACACHTuJAc7xgmr0AAADb&#10;AAAADwAAAGRycy9kb3ducmV2LnhtbEWP3YrCMBSE7wXfIRzBO00VlKUahRUUf0C0KuzloTnbdm1O&#10;ShOrvr0RFrwcZuYbZjp/mFI0VLvCsoJBPwJBnFpdcKbgfFr2vkA4j6yxtEwKnuRgPmu3phhre+cj&#10;NYnPRICwi1FB7n0VS+nSnAy6vq2Ig/dra4M+yDqTusZ7gJtSDqNoLA0WHBZyrGiRU3pNbkbBabM7&#10;366L7z++7Muf7T4xh02zUqrbGUQTEJ4e/hP+b6+1gtEQ3l/CD5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vGCavQAA&#10;ANsAAAAPAAAAAAAAAAEAIAAAACIAAABkcnMvZG93bnJldi54bWxQSwECFAAUAAAACACHTuJAMy8F&#10;njsAAAA5AAAAEAAAAAAAAAABACAAAAAMAQAAZHJzL3NoYXBleG1sLnhtbFBLBQYAAAAABgAGAFsB&#10;AAC2AwAAAAA=&#10;">
                  <v:fill on="t" focussize="0,0"/>
                  <v:stroke on="f" weight="1pt"/>
                  <v:imagedata o:title=""/>
                  <o:lock v:ext="edit" aspectratio="f"/>
                </v:shape>
                <v:shape id="Freeform 94" o:spid="_x0000_s1026" o:spt="100" alt="KSO_WM_UNIT_INDEX=1_19&amp;KSO_WM_UNIT_TYPE=n_i&amp;KSO_WM_UNIT_ID=wpsdiag20161027_3*n_i*1_19&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style="position:absolute;left:24701;top:15113;height:2133;width:1435;" fillcolor="#FFFFFF" filled="t" stroked="f" coordsize="66,107" o:gfxdata="UEsDBAoAAAAAAIdO4kAAAAAAAAAAAAAAAAAEAAAAZHJzL1BLAwQUAAAACACHTuJAnUQiSr4AAADb&#10;AAAADwAAAGRycy9kb3ducmV2LnhtbEWPzWrDMBCE74W8g9hAb43kJg3BjeyDIeBDemiaQ3pbWxvb&#10;2FoZS83P21eBQo/DzHzDbPObHcSFJt851pAsFAji2pmOGw3Hr93LBoQPyAYHx6ThTh7ybPa0xdS4&#10;K3/S5RAaESHsU9TQhjCmUvq6JYt+4Ubi6J3dZDFEOTXSTHiNcDvIV6XW0mLHcaHFkYqW6v7wYzWs&#10;qv6ERWN6pT6Kcl9Xm+/q7rV+nifqHUSgW/gP/7VLo+FtCY8v8Q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QiSr4A&#10;AADbAAAADwAAAAAAAAABACAAAAAiAAAAZHJzL2Rvd25yZXYueG1sUEsBAhQAFAAAAAgAh07iQDMv&#10;BZ47AAAAOQAAABAAAAAAAAAAAQAgAAAADQEAAGRycy9zaGFwZXhtbC54bWxQSwUGAAAAAAYABgBb&#10;AQAAtwMAAAAA&#10;" path="m47,93c19,93,19,93,19,93c19,100,25,107,33,107c41,107,47,100,47,93m46,80c20,80,20,80,20,80c17,80,14,81,14,84c14,86,17,88,20,88c46,88,46,88,46,88c49,88,52,86,52,84c52,81,49,80,46,80m12,25c11,25,11,25,11,25c10,24,10,23,10,22c14,16,20,12,27,9c27,9,27,9,27,9c28,9,29,10,29,11c29,12,29,13,28,13c22,15,17,19,13,24c13,25,13,25,12,25m33,0c15,0,0,16,0,35c0,38,1,41,2,45c2,45,2,45,2,45c13,73,13,73,13,73c14,74,14,75,15,75c51,75,51,75,51,75c52,75,53,74,53,73c64,45,64,45,64,45c65,45,65,45,65,45c65,41,66,38,66,35c66,16,51,0,33,0e">
                  <v:path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2147483646;2147483646,2147483646;2147483646,2147483646;2147483646,2147483646;2147483646,2147483646;2147483646,2147483646;2147483646,2147483646;2147483646,2147483646;2147483646,2147483646;2147483646,2147483646;2147483646,0" o:connectangles="0,0,0,0,0,0,0,0,0,0,0,0,0,0,0,0,0,0,0,0,0,0,0,0,0,0,0,0,0,0,0,0"/>
                  <v:fill on="t" focussize="0,0"/>
                  <v:stroke on="f"/>
                  <v:imagedata o:title=""/>
                  <o:lock v:ext="edit" aspectratio="f"/>
                </v:shape>
                <v:shape id="Freeform 59" o:spid="_x0000_s1026" o:spt="100" alt="KSO_WM_UNIT_INDEX=1_20&amp;KSO_WM_UNIT_TYPE=n_i&amp;KSO_WM_UNIT_ID=wpsdiag20161027_3*n_i*1_20&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style="position:absolute;left:42989;top:15240;height:1758;width:2096;" fillcolor="#FFFFFF" filled="t" stroked="f" coordsize="145,107" o:gfxdata="UEsDBAoAAAAAAIdO4kAAAAAAAAAAAAAAAAAEAAAAZHJzL1BLAwQUAAAACACHTuJA3uGPE7wAAADb&#10;AAAADwAAAGRycy9kb3ducmV2LnhtbEWPT4vCMBTE7wt+h/AEb2vqv0WqqYeKKCy4WNf7o3m2pc1L&#10;aWLVb78RhD0OM/MbZr15mEb01LnKsoLJOAJBnFtdcaHg97z7XIJwHlljY5kUPMnBJhl8rDHW9s4n&#10;6jNfiABhF6OC0vs2ltLlJRl0Y9sSB+9qO4M+yK6QusN7gJtGTqPoSxqsOCyU2FJaUl5nN6MgPWbV&#10;fsuLS4359vTTf+vzLNVKjYaTaAXC08P/h9/tg1awmMPrS/gBM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hjxO8AAAA&#10;2wAAAA8AAAAAAAAAAQAgAAAAIgAAAGRycy9kb3ducmV2LnhtbFBLAQIUABQAAAAIAIdO4kAzLwWe&#10;OwAAADkAAAAQAAAAAAAAAAEAIAAAAAsBAABkcnMvc2hhcGV4bWwueG1sUEsFBgAAAAAGAAYAWwEA&#10;ALUDAAAAAA==&#10;" path="m29,72c13,72,13,72,13,72c12,72,11,73,11,75c11,105,11,105,11,105c11,106,12,107,13,107c29,107,29,107,29,107c30,107,31,106,31,105c31,75,31,75,31,75c31,73,30,72,29,72m93,67c78,67,78,67,78,67c76,67,75,68,75,69c75,105,75,105,75,105c75,106,76,107,78,107c93,107,93,107,93,107c94,107,96,106,96,105c96,69,96,69,96,69c96,68,94,67,93,67m125,56c110,56,110,56,110,56c108,56,107,57,107,59c107,105,107,105,107,105c107,106,108,107,110,107c125,107,125,107,125,107c127,107,128,106,128,105c128,59,128,59,128,59c128,57,127,56,125,56m61,53c46,53,46,53,46,53c44,53,43,54,43,55c43,105,43,105,43,105c43,106,44,107,46,107c61,107,61,107,61,107c62,107,63,106,63,105c63,55,63,55,63,55c63,54,62,53,61,53m143,0c143,0,142,0,142,0c118,5,118,5,118,5c117,5,117,5,116,6c116,6,115,7,115,7c115,8,115,9,115,10c121,15,121,15,121,15c90,44,90,44,90,44c59,15,59,15,59,15c58,15,57,14,55,14c54,14,53,14,52,15c3,60,3,60,3,60c1,62,0,65,2,67c3,68,5,68,6,68c7,68,8,68,9,67c55,26,55,26,55,26c87,54,87,54,87,54c88,55,89,56,90,56c91,56,93,55,94,54c127,22,127,22,127,22c134,29,134,29,134,29c134,30,135,30,136,30c136,30,136,30,137,30c137,29,138,29,138,29c139,28,139,28,139,27c145,3,145,3,145,3c145,2,145,1,145,0c144,0,144,0,143,0e">
                  <v:path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
                  <v:fill on="t" focussize="0,0"/>
                  <v:stroke on="f"/>
                  <v:imagedata o:title=""/>
                  <o:lock v:ext="edit" aspectratio="f"/>
                </v:shape>
                <v:shape id="Freeform 10" o:spid="_x0000_s1026" o:spt="100" alt="KSO_WM_UNIT_INDEX=1_21&amp;KSO_WM_UNIT_TYPE=n_i&amp;KSO_WM_UNIT_ID=wpsdiag20161027_3*n_i*1_21&amp;KSO_WM_UNIT_LAYERLEVEL=1_1&amp;KSO_WM_UNIT_CLEAR=1&amp;KSO_WM_TAG_VERSION=1.0&amp;KSO_WM_BEAUTIFY_FLAG=#wm#&amp;KSO_WM_TEMPLATE_CATEGORY=wpsdiag&amp;KSO_WM_TEMPLATE_INDEX=20161027&amp;KSO_WM_SLIDE_ITEM_CNT=3&amp;KSO_WM_DIAGRAM_GROUP_CODE=n1_1&amp;KSO_WM_UNIT_FILL_FORE_SCHEMECOLOR_INDEX=14&amp;KSO_WM_UNIT_FILL_BACK_SCHEMECOLOR_INDEX=0&amp;KSO_WM_UNIT_FILL_TYPE=1" style="position:absolute;left:5651;top:15303;height:1846;width:2164;" fillcolor="#FFFFFF" filled="t" stroked="f" coordsize="107,79" o:gfxdata="UEsDBAoAAAAAAIdO4kAAAAAAAAAAAAAAAAAEAAAAZHJzL1BLAwQUAAAACACHTuJAHESHMb4AAADb&#10;AAAADwAAAGRycy9kb3ducmV2LnhtbEWPQWvCQBSE7wX/w/IEb3WTgq1EVxFRCHhpjSDentlnEsy+&#10;TXdXY/99t1DwOMzMN8x8+TCtuJPzjWUF6TgBQVxa3XCl4FBsX6cgfEDW2FomBT/kYbkYvMwx07bn&#10;L7rvQyUihH2GCuoQukxKX9Zk0I9tRxy9i3UGQ5SuktphH+GmlW9J8i4NNhwXauxoXVN53d+MgtOm&#10;D261O28+8zw9bj9ccWu/C6VGwzSZgQj0CM/wfzvXCiYT+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SHMb4A&#10;AADbAAAADwAAAAAAAAABACAAAAAiAAAAZHJzL2Rvd25yZXYueG1sUEsBAhQAFAAAAAgAh07iQDMv&#10;BZ47AAAAOQAAABAAAAAAAAAAAQAgAAAADQEAAGRycy9zaGFwZXhtbC54bWxQSwUGAAAAAAYABgBb&#10;AQAAtwMAAAAA&#10;" path="m53,53c50,53,46,55,44,57c39,62,39,70,44,75c46,77,50,79,53,79c56,79,59,77,62,75c67,70,67,62,62,57c59,55,56,53,53,53m53,28c42,28,31,32,22,41c19,44,19,48,22,51c24,53,25,53,27,53c29,53,31,53,32,51c38,45,46,43,53,43c61,43,68,45,74,51c76,53,77,53,79,53c81,53,83,53,84,51c87,48,87,44,84,41c76,32,65,28,53,28m53,0c35,0,16,7,2,22c0,24,0,28,2,31c3,32,5,33,7,33c9,33,10,32,12,31c23,20,38,14,53,14c68,14,83,20,95,31c96,32,98,33,100,33c101,33,103,32,104,31c107,28,107,24,104,22c90,7,72,0,53,0e">
                  <v:path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0" o:connectangles="0,0,0,0,0,0,0,0,0,0,0,0,0,0,0,0,0,0,0,0,0,0,0,0,0,0,0,0,0"/>
                  <v:fill on="t" focussize="0,0"/>
                  <v:stroke on="f"/>
                  <v:imagedata o:title=""/>
                  <o:lock v:ext="edit" aspectratio="f"/>
                </v:shape>
                <v:rect id="矩形 106" o:spid="_x0000_s1026" o:spt="1" alt="KSO_WM_UNIT_INDEX=1_2_1_1&amp;KSO_WM_UNIT_TYPE=n_h_h_a&amp;KSO_WM_UNIT_ID=wpsdiag20161027_3*n_h_h_a*1_2_1_1&amp;KSO_WM_UNIT_LAYERLEVEL=1_1_1_1&amp;KSO_WM_UNIT_HIGHLIGHT=0&amp;KSO_WM_UNIT_CLEAR=0&amp;KSO_WM_UNIT_COMPATIBLE=0&amp;KSO_WM_UNIT_PRESET_TEXT=LOREM&amp;KSO_WM_UNIT_VALUE=11&amp;KSO_WM_TAG_VERSION=1.0&amp;KSO_WM_BEAUTIFY_FLAG=#wm#&amp;KSO_WM_TEMPLATE_CATEGORY=wpsdiag&amp;KSO_WM_TEMPLATE_INDEX=20161027&amp;KSO_WM_SLIDE_ITEM_CNT=3&amp;KSO_WM_DIAGRAM_GROUP_CODE=n1_1&amp;KSO_WM_UNIT_TEXT_FILL_FORE_SCHEMECOLOR_INDEX=13&amp;KSO_WM_UNIT_TEXT_FILL_TYPE=1" style="position:absolute;left:0;top:18351;height:2159;width:14014;" filled="f" stroked="f" coordsize="21600,21600" o:gfxdata="UEsDBAoAAAAAAIdO4kAAAAAAAAAAAAAAAAAEAAAAZHJzL1BLAwQUAAAACACHTuJATR2Ogr0AAADb&#10;AAAADwAAAGRycy9kb3ducmV2LnhtbEWPwW7CMBBE75X4B2srcStOKE1RwHBAgJDaC4EPWOJtEhqv&#10;I9sN8Pc1EhLH0cy80cyXV9OKnpxvLCtIRwkI4tLqhisFx8PmbQrCB2SNrWVScCMPy8XgZY65thfe&#10;U1+ESkQI+xwV1CF0uZS+rMmgH9mOOHo/1hkMUbpKaoeXCDetHCdJJg02HBdq7GhVU/lb/BkFk3S/&#10;OX315/U024Vi++0+e/t+Umr4miYzEIGu4Rl+tHdawUcG9y/x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Y6C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20"/>
                          <w:snapToGrid w:val="0"/>
                          <w:spacing w:line="192" w:lineRule="auto"/>
                          <w:jc w:val="center"/>
                          <w:textAlignment w:val="baseline"/>
                          <w:rPr>
                            <w:rFonts w:ascii="黑体" w:hAnsi="黑体" w:eastAsia="黑体" w:cs="黑体"/>
                            <w:b/>
                            <w:bCs/>
                            <w:color w:val="2E75B6" w:themeColor="accent5" w:themeShade="BF"/>
                            <w:sz w:val="21"/>
                            <w:szCs w:val="36"/>
                          </w:rPr>
                        </w:pPr>
                        <w:r>
                          <w:rPr>
                            <w:rFonts w:hint="eastAsia" w:ascii="黑体" w:hAnsi="黑体" w:eastAsia="黑体" w:cs="黑体"/>
                            <w:b/>
                            <w:bCs/>
                            <w:color w:val="2E75B6" w:themeColor="accent5" w:themeShade="BF"/>
                            <w:sz w:val="21"/>
                            <w:szCs w:val="36"/>
                          </w:rPr>
                          <w:t>应急领导组</w:t>
                        </w:r>
                      </w:p>
                    </w:txbxContent>
                  </v:textbox>
                </v:rect>
                <v:rect id="矩形 141" o:spid="_x0000_s1026" o:spt="1" alt="KSO_WM_UNIT_INDEX=1_2_1_1&amp;KSO_WM_UNIT_TYPE=n_h_h_f&amp;KSO_WM_UNIT_ID=wpsdiag20161027_3*n_h_h_f*1_2_1_1&amp;KSO_WM_UNIT_LAYERLEVEL=1_1_1_1&amp;KSO_WM_UNIT_HIGHLIGHT=0&amp;KSO_WM_UNIT_CLEAR=0&amp;KSO_WM_UNIT_COMPATIBLE=0&amp;KSO_WM_UNIT_PRESET_TEXT=Lorem ipsum dolor sit amet, consectetur adipiscing elit.&amp;KSO_WM_UNIT_VALUE=77&amp;KSO_WM_TAG_VERSION=1.0&amp;KSO_WM_BEAUTIFY_FLAG=#wm#&amp;KSO_WM_TEMPLATE_CATEGORY=wpsdiag&amp;KSO_WM_TEMPLATE_INDEX=20161027&amp;KSO_WM_SLIDE_ITEM_CNT=3&amp;KSO_WM_DIAGRAM_GROUP_CODE=n1_1&amp;KSO_WM_UNIT_TEXT_FILL_FORE_SCHEMECOLOR_INDEX=13&amp;KSO_WM_UNIT_TEXT_FILL_TYPE=1" style="position:absolute;left:0;top:20929;height:1982;width:14011;" filled="f" stroked="f" coordsize="21600,21600" o:gfxdata="UEsDBAoAAAAAAIdO4kAAAAAAAAAAAAAAAAAEAAAAZHJzL1BLAwQUAAAACACHTuJAIlErGb4AAADb&#10;AAAADwAAAGRycy9kb3ducmV2LnhtbEWPwW7CMBBE70j9B2sr9QZOWhqigOFQlQqpvZDyAZt4SULj&#10;dWS7Af6+RkLqcTQzbzSrzcX0YiTnO8sK0lkCgri2uuNGweF7O81B+ICssbdMCq7kYbN+mKyw0PbM&#10;exrL0IgIYV+ggjaEoZDS1y0Z9DM7EEfvaJ3BEKVrpHZ4jnDTy+ckyaTBjuNCiwO9tVT/lL9GwTzd&#10;b6vP8fSeZ7tQfny5xWhfKqWeHtNkCSLQJfyH7+2dVvC6gNuX+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ErGb4A&#10;AADbAAAADwAAAAAAAAABACAAAAAiAAAAZHJzL2Rvd25yZXYueG1sUEsBAhQAFAAAAAgAh07iQDMv&#10;BZ47AAAAOQAAABAAAAAAAAAAAQAgAAAADQEAAGRycy9zaGFwZXhtbC54bWxQSwUGAAAAAAYABgBb&#10;AQAAtwMAAAAA&#10;">
                  <v:fill on="f" focussize="0,0"/>
                  <v:stroke on="f"/>
                  <v:imagedata o:title=""/>
                  <o:lock v:ext="edit" aspectratio="f"/>
                  <v:textbox inset="0.0461340769903762in,1.66086614173228pt,0.0461340769903762in,1.66086614173228pt">
                    <w:txbxContent>
                      <w:p>
                        <w:pPr>
                          <w:pStyle w:val="20"/>
                          <w:snapToGrid w:val="0"/>
                          <w:spacing w:line="360" w:lineRule="auto"/>
                          <w:jc w:val="center"/>
                          <w:textAlignment w:val="baseline"/>
                          <w:rPr>
                            <w:rFonts w:ascii="宋体" w:hAnsi="宋体" w:eastAsia="宋体" w:cs="宋体"/>
                            <w:color w:val="000000"/>
                            <w:sz w:val="18"/>
                            <w:szCs w:val="28"/>
                          </w:rPr>
                        </w:pPr>
                        <w:r>
                          <w:rPr>
                            <w:rFonts w:hint="eastAsia" w:ascii="宋体" w:hAnsi="宋体" w:eastAsia="宋体" w:cs="宋体"/>
                            <w:color w:val="000000"/>
                            <w:sz w:val="18"/>
                            <w:szCs w:val="28"/>
                          </w:rPr>
                          <w:t>决策层</w:t>
                        </w:r>
                      </w:p>
                    </w:txbxContent>
                  </v:textbox>
                </v:rect>
                <v:rect id="矩形 142" o:spid="_x0000_s1026" o:spt="1" alt="KSO_WM_UNIT_INDEX=1_2_2_1&amp;KSO_WM_UNIT_TYPE=n_h_h_a&amp;KSO_WM_UNIT_ID=wpsdiag20161027_3*n_h_h_a*1_2_2_1&amp;KSO_WM_UNIT_LAYERLEVEL=1_1_1_1&amp;KSO_WM_UNIT_HIGHLIGHT=0&amp;KSO_WM_UNIT_CLEAR=0&amp;KSO_WM_UNIT_COMPATIBLE=0&amp;KSO_WM_UNIT_PRESET_TEXT=LOREM&amp;KSO_WM_UNIT_VALUE=11&amp;KSO_WM_TAG_VERSION=1.0&amp;KSO_WM_BEAUTIFY_FLAG=#wm#&amp;KSO_WM_TEMPLATE_CATEGORY=wpsdiag&amp;KSO_WM_TEMPLATE_INDEX=20161027&amp;KSO_WM_SLIDE_ITEM_CNT=3&amp;KSO_WM_DIAGRAM_GROUP_CODE=n1_1&amp;KSO_WM_UNIT_TEXT_FILL_FORE_SCHEMECOLOR_INDEX=13&amp;KSO_WM_UNIT_TEXT_FILL_TYPE=1" style="position:absolute;left:18223;top:18215;height:2162;width:14016;" filled="f" stroked="f" coordsize="21600,21600" o:gfxdata="UEsDBAoAAAAAAIdO4kAAAAAAAAAAAAAAAAAEAAAAZHJzL1BLAwQUAAAACACHTuJAU86/a7sAAADb&#10;AAAADwAAAGRycy9kb3ducmV2LnhtbEVPS27CMBDdV+IO1iB11zgpLaCAYYFKFandkPYAk3hIAvE4&#10;sk1Ib18vKnX59P7b/WR6MZLznWUFWZKCIK6t7rhR8P11fFqD8AFZY2+ZFPyQh/1u9rDFXNs7n2gs&#10;QyNiCPscFbQhDLmUvm7JoE/sQBy5s3UGQ4SukdrhPYabXj6n6VIa7Dg2tDjQoaX6Wt6MgpfsdKw+&#10;xsvbelmE8v3TrUa7qJR6nGfpBkSgKfyL/9yFVvAax8Yv8Q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6/a7sAAADb&#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20"/>
                          <w:snapToGrid w:val="0"/>
                          <w:spacing w:line="192" w:lineRule="auto"/>
                          <w:jc w:val="center"/>
                          <w:textAlignment w:val="baseline"/>
                          <w:rPr>
                            <w:rFonts w:ascii="黑体" w:hAnsi="黑体" w:eastAsia="黑体" w:cs="黑体"/>
                            <w:b/>
                            <w:bCs/>
                            <w:color w:val="2E75B6" w:themeColor="accent5" w:themeShade="BF"/>
                            <w:sz w:val="21"/>
                            <w:szCs w:val="36"/>
                            <w:lang w:eastAsia="zh-Hans"/>
                          </w:rPr>
                        </w:pPr>
                        <w:r>
                          <w:rPr>
                            <w:rFonts w:hint="eastAsia" w:ascii="黑体" w:hAnsi="黑体" w:eastAsia="黑体" w:cs="黑体"/>
                            <w:b/>
                            <w:bCs/>
                            <w:color w:val="2E75B6" w:themeColor="accent5" w:themeShade="BF"/>
                            <w:sz w:val="21"/>
                            <w:szCs w:val="36"/>
                            <w:lang w:eastAsia="zh-Hans"/>
                          </w:rPr>
                          <w:t>应急管理办公室</w:t>
                        </w:r>
                      </w:p>
                    </w:txbxContent>
                  </v:textbox>
                </v:rect>
                <v:rect id="矩形 143" o:spid="_x0000_s1026" o:spt="1" alt="KSO_WM_UNIT_INDEX=1_2_3_1&amp;KSO_WM_UNIT_TYPE=n_h_h_f&amp;KSO_WM_UNIT_ID=wpsdiag20161027_3*n_h_h_f*1_2_3_1&amp;KSO_WM_UNIT_LAYERLEVEL=1_1_1_1&amp;KSO_WM_UNIT_HIGHLIGHT=0&amp;KSO_WM_UNIT_CLEAR=0&amp;KSO_WM_UNIT_COMPATIBLE=0&amp;KSO_WM_UNIT_PRESET_TEXT=Lorem ipsum dolor sit amet, consectetur adipiscing elit.&amp;KSO_WM_UNIT_VALUE=77&amp;KSO_WM_TAG_VERSION=1.0&amp;KSO_WM_BEAUTIFY_FLAG=#wm#&amp;KSO_WM_TEMPLATE_CATEGORY=wpsdiag&amp;KSO_WM_TEMPLATE_INDEX=20161027&amp;KSO_WM_SLIDE_ITEM_CNT=3&amp;KSO_WM_DIAGRAM_GROUP_CODE=n1_1&amp;KSO_WM_UNIT_TEXT_FILL_FORE_SCHEMECOLOR_INDEX=13&amp;KSO_WM_UNIT_TEXT_FILL_TYPE=1" style="position:absolute;left:18290;top:20920;height:1824;width:14018;" filled="f" stroked="f" coordsize="21600,21600" o:gfxdata="UEsDBAoAAAAAAIdO4kAAAAAAAAAAAAAAAAAEAAAAZHJzL1BLAwQUAAAACACHTuJAPIIa8L4AAADb&#10;AAAADwAAAGRycy9kb3ducmV2LnhtbEWPzW7CMBCE75V4B2uRuBUntPw0xXBApUIqF0IfYIm3SSBe&#10;R7YJ8Pa4EhLH0cx8o5kvr6YRHTlfW1aQDhMQxIXVNZcKfvfr1xkIH5A1NpZJwY08LBe9lzlm2l54&#10;R10eShEh7DNUUIXQZlL6oiKDfmhb4uj9WWcwROlKqR1eItw0cpQkE2mw5rhQYUuriopTfjYK3tPd&#10;+vDTHb9mk03Iv7du2tm3g1KDfpp8ggh0Dc/wo73RCsYf8P8l/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Ia8L4A&#10;AADbAAAADwAAAAAAAAABACAAAAAiAAAAZHJzL2Rvd25yZXYueG1sUEsBAhQAFAAAAAgAh07iQDMv&#10;BZ47AAAAOQAAABAAAAAAAAAAAQAgAAAADQEAAGRycy9zaGFwZXhtbC54bWxQSwUGAAAAAAYABgBb&#10;AQAAtwMAAAAA&#10;">
                  <v:fill on="f" focussize="0,0"/>
                  <v:stroke on="f"/>
                  <v:imagedata o:title=""/>
                  <o:lock v:ext="edit" aspectratio="f"/>
                  <v:textbox inset="0.0461340769903762in,1.66086614173228pt,0.0461340769903762in,1.66086614173228pt">
                    <w:txbxContent>
                      <w:p>
                        <w:pPr>
                          <w:pStyle w:val="20"/>
                          <w:snapToGrid w:val="0"/>
                          <w:spacing w:line="360" w:lineRule="auto"/>
                          <w:jc w:val="center"/>
                          <w:textAlignment w:val="baseline"/>
                          <w:rPr>
                            <w:rFonts w:ascii="宋体" w:hAnsi="宋体" w:eastAsia="宋体" w:cs="宋体"/>
                            <w:color w:val="000000"/>
                            <w:kern w:val="24"/>
                            <w:sz w:val="18"/>
                            <w:szCs w:val="20"/>
                          </w:rPr>
                        </w:pPr>
                        <w:r>
                          <w:rPr>
                            <w:rFonts w:hint="eastAsia" w:ascii="宋体" w:hAnsi="宋体" w:eastAsia="宋体" w:cs="宋体"/>
                            <w:color w:val="000000"/>
                            <w:kern w:val="24"/>
                            <w:sz w:val="18"/>
                            <w:szCs w:val="20"/>
                          </w:rPr>
                          <w:t>管理层</w:t>
                        </w:r>
                      </w:p>
                    </w:txbxContent>
                  </v:textbox>
                </v:rect>
                <v:rect id="矩形 144" o:spid="_x0000_s1026" o:spt="1" alt="KSO_WM_UNIT_INDEX=1_22&amp;KSO_WM_UNIT_TYPE=n_i&amp;KSO_WM_UNIT_ID=wpsdiag20161027_3*n_i*1_22&amp;KSO_WM_UNIT_LAYERLEVEL=1_1&amp;KSO_WM_UNIT_CLEAR=1&amp;KSO_WM_TAG_VERSION=1.0&amp;KSO_WM_BEAUTIFY_FLAG=#wm#&amp;KSO_WM_TEMPLATE_CATEGORY=wpsdiag&amp;KSO_WM_TEMPLATE_INDEX=20161027&amp;KSO_WM_SLIDE_ITEM_CNT=3&amp;KSO_WM_DIAGRAM_GROUP_CODE=n1_1&amp;KSO_WM_UNIT_TEXT_FILL_FORE_SCHEMECOLOR_INDEX=13&amp;KSO_WM_UNIT_TEXT_FILL_TYPE=1" style="position:absolute;left:36951;top:18280;height:2161;width:14016;" filled="f" stroked="f" coordsize="21600,21600" o:gfxdata="UEsDBAoAAAAAAIdO4kAAAAAAAAAAAAAAAAAEAAAAZHJzL1BLAwQUAAAACACHTuJAY9R50LkAAADb&#10;AAAADwAAAGRycy9kb3ducmV2LnhtbEVPzYrCMBC+C/sOYRa8aVpXulKNHpZ1EfRi3QcYm7GtNpOS&#10;xKpvbw6Cx4/vf7G6m1b05HxjWUE6TkAQl1Y3XCn4P6xHMxA+IGtsLZOCB3lYLT8GC8y1vfGe+iJU&#10;Ioawz1FBHUKXS+nLmgz6se2II3eyzmCI0FVSO7zFcNPKSZJk0mDDsaHGjn5qKi/F1SiYpvv1cduf&#10;f2fZJhR/O/fd26+jUsPPNJmDCHQPb/HLvdEKsrg+fo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UedC5AAAA2wAA&#10;AA8AAAAAAAAAAQAgAAAAIgAAAGRycy9kb3ducmV2LnhtbFBLAQIUABQAAAAIAIdO4kAzLwWeOwAA&#10;ADkAAAAQAAAAAAAAAAEAIAAAAAgBAABkcnMvc2hhcGV4bWwueG1sUEsFBgAAAAAGAAYAWwEAALID&#10;AAAAAA==&#10;">
                  <v:fill on="f" focussize="0,0"/>
                  <v:stroke on="f"/>
                  <v:imagedata o:title=""/>
                  <o:lock v:ext="edit" aspectratio="f"/>
                  <v:textbox inset="0.0461340769903762in,1.66086614173228pt,0.0461340769903762in,1.66086614173228pt">
                    <w:txbxContent>
                      <w:p>
                        <w:pPr>
                          <w:pStyle w:val="20"/>
                          <w:snapToGrid w:val="0"/>
                          <w:spacing w:line="192" w:lineRule="auto"/>
                          <w:jc w:val="center"/>
                          <w:textAlignment w:val="baseline"/>
                          <w:rPr>
                            <w:rFonts w:ascii="黑体" w:hAnsi="黑体" w:eastAsia="黑体" w:cs="黑体"/>
                            <w:b/>
                            <w:bCs/>
                            <w:color w:val="2E75B6" w:themeColor="accent5" w:themeShade="BF"/>
                            <w:sz w:val="21"/>
                            <w:szCs w:val="36"/>
                          </w:rPr>
                        </w:pPr>
                        <w:r>
                          <w:rPr>
                            <w:rFonts w:hint="eastAsia" w:ascii="黑体" w:hAnsi="黑体" w:eastAsia="黑体" w:cs="黑体"/>
                            <w:b/>
                            <w:bCs/>
                            <w:color w:val="2E75B6" w:themeColor="accent5" w:themeShade="BF"/>
                            <w:sz w:val="21"/>
                            <w:szCs w:val="36"/>
                          </w:rPr>
                          <w:t>应急处理小组</w:t>
                        </w:r>
                      </w:p>
                    </w:txbxContent>
                  </v:textbox>
                </v:rect>
                <v:rect id="矩形 145" o:spid="_x0000_s1026" o:spt="1" alt="KSO_WM_UNIT_INDEX=1_2_3_1&amp;KSO_WM_UNIT_TYPE=n_h_h_a&amp;KSO_WM_UNIT_ID=wpsdiag20161027_3*n_h_h_a*1_2_3_1&amp;KSO_WM_UNIT_LAYERLEVEL=1_1_1_1&amp;KSO_WM_UNIT_HIGHLIGHT=0&amp;KSO_WM_UNIT_CLEAR=0&amp;KSO_WM_UNIT_COMPATIBLE=0&amp;KSO_WM_UNIT_PRESET_TEXT=Lorem ipsum dolor sit amet, consectetur adipiscing elit.&amp;KSO_WM_UNIT_VALUE=77&amp;KSO_WM_TAG_VERSION=1.0&amp;KSO_WM_BEAUTIFY_FLAG=#wm#&amp;KSO_WM_TEMPLATE_CATEGORY=wpsdiag&amp;KSO_WM_TEMPLATE_INDEX=20161027&amp;KSO_WM_SLIDE_ITEM_CNT=3&amp;KSO_WM_DIAGRAM_GROUP_CODE=n1_1&amp;KSO_WM_UNIT_TEXT_FILL_FORE_SCHEMECOLOR_INDEX=13&amp;KSO_WM_UNIT_TEXT_FILL_TYPE=1" style="position:absolute;left:37079;top:20984;height:1736;width:14649;" filled="f" stroked="f" coordsize="21600,21600" o:gfxdata="UEsDBAoAAAAAAIdO4kAAAAAAAAAAAAAAAAAEAAAAZHJzL1BLAwQUAAAACACHTuJADJjcS70AAADb&#10;AAAADwAAAGRycy9kb3ducmV2LnhtbEWPwW7CMBBE75X4B2uRuBUnpUpRGocDKgipvZD2A5Z4m6TE&#10;68g2Af4eV0LiOJqZN5pidTG9GMn5zrKCdJ6AIK6t7rhR8PO9eV6C8AFZY2+ZFFzJw6qcPBWYa3vm&#10;PY1VaESEsM9RQRvCkEvp65YM+rkdiKP3a53BEKVrpHZ4jnDTy5ckyaTBjuNCiwOtW6qP1ckoeE33&#10;m8Pn+PexzHah2n65t9EuDkrNpmnyDiLQJTzC9/ZOK8hS+P8Sf4A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mNxL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20"/>
                          <w:snapToGrid w:val="0"/>
                          <w:spacing w:line="360" w:lineRule="auto"/>
                          <w:ind w:firstLine="900" w:firstLineChars="500"/>
                          <w:textAlignment w:val="baseline"/>
                          <w:rPr>
                            <w:rFonts w:ascii="宋体" w:hAnsi="宋体" w:eastAsia="宋体" w:cs="宋体"/>
                            <w:color w:val="000000"/>
                            <w:sz w:val="18"/>
                            <w:szCs w:val="28"/>
                            <w:lang w:eastAsia="zh-Hans"/>
                          </w:rPr>
                        </w:pPr>
                        <w:r>
                          <w:rPr>
                            <w:rFonts w:hint="eastAsia" w:ascii="宋体" w:hAnsi="宋体" w:eastAsia="宋体" w:cs="宋体"/>
                            <w:color w:val="000000"/>
                            <w:sz w:val="18"/>
                            <w:szCs w:val="28"/>
                            <w:lang w:eastAsia="zh-Hans"/>
                          </w:rPr>
                          <w:t>执行层</w:t>
                        </w:r>
                      </w:p>
                    </w:txbxContent>
                  </v:textbox>
                </v:rect>
                <w10:wrap type="topAndBottom"/>
              </v:group>
            </w:pict>
          </mc:Fallback>
        </mc:AlternateContent>
      </w:r>
    </w:p>
    <w:bookmarkEnd w:id="288"/>
    <w:p>
      <w:pPr>
        <w:pStyle w:val="2"/>
        <w:spacing w:line="360" w:lineRule="auto"/>
        <w:ind w:left="0" w:leftChars="0" w:firstLine="0" w:firstLineChars="0"/>
        <w:jc w:val="center"/>
        <w:rPr>
          <w:rFonts w:hint="default" w:ascii="Times New Roman" w:hAnsi="Times New Roman" w:eastAsia="黑体" w:cs="宋体"/>
        </w:rPr>
      </w:pPr>
      <w:r>
        <w:rPr>
          <w:rFonts w:ascii="Times New Roman" w:hAnsi="Times New Roman" w:eastAsia="黑体" w:cs="宋体"/>
        </w:rPr>
        <w:t>图</w:t>
      </w:r>
      <w:r>
        <w:rPr>
          <w:rFonts w:hint="default" w:ascii="Times New Roman" w:hAnsi="Times New Roman" w:eastAsia="黑体" w:cs="宋体"/>
        </w:rPr>
        <w:t>9-1</w:t>
      </w:r>
      <w:r>
        <w:rPr>
          <w:rFonts w:ascii="Times New Roman" w:hAnsi="Times New Roman" w:eastAsia="黑体" w:cs="宋体"/>
        </w:rPr>
        <w:t>：江门农商银行数据安全事件（事故）应急处置组织架构</w:t>
      </w:r>
    </w:p>
    <w:p>
      <w:pPr>
        <w:spacing w:line="360" w:lineRule="auto"/>
        <w:rPr>
          <w:rFonts w:ascii="Times New Roman" w:hAnsi="Times New Roman" w:eastAsia="宋体" w:cs="宋体"/>
          <w:color w:val="000000"/>
          <w:sz w:val="24"/>
          <w:szCs w:val="24"/>
          <w:shd w:val="clear" w:color="auto" w:fill="FFFFFF"/>
        </w:rPr>
      </w:pPr>
      <w:r>
        <w:rPr>
          <w:rFonts w:ascii="Times New Roman" w:hAnsi="Times New Roman" w:eastAsia="宋体" w:cs="Times New Roman"/>
          <w:sz w:val="24"/>
          <w:szCs w:val="24"/>
        </w:rPr>
        <w:br w:type="page"/>
      </w:r>
      <w:bookmarkStart w:id="289" w:name="_Toc9589"/>
    </w:p>
    <w:p>
      <w:pPr>
        <w:pStyle w:val="4"/>
        <w:spacing w:line="360" w:lineRule="auto"/>
        <w:rPr>
          <w:color w:val="2E75B6" w:themeColor="accent5" w:themeShade="BF"/>
        </w:rPr>
      </w:pPr>
      <w:bookmarkStart w:id="290" w:name="_Toc26053"/>
      <w:bookmarkStart w:id="291" w:name="_Toc15125"/>
      <w:bookmarkStart w:id="292" w:name="_Toc16273"/>
      <w:bookmarkStart w:id="293" w:name="_Toc13620"/>
      <w:bookmarkStart w:id="294" w:name="_Toc21350"/>
      <w:r>
        <w:rPr>
          <w:rFonts w:hint="eastAsia"/>
          <w:color w:val="2E75B6" w:themeColor="accent5" w:themeShade="BF"/>
        </w:rPr>
        <w:t>第十部分</w:t>
      </w:r>
      <w:r>
        <w:rPr>
          <w:color w:val="2E75B6" w:themeColor="accent5" w:themeShade="BF"/>
        </w:rPr>
        <w:t xml:space="preserve"> </w:t>
      </w:r>
      <w:r>
        <w:rPr>
          <w:rFonts w:hint="eastAsia"/>
          <w:color w:val="2E75B6" w:themeColor="accent5" w:themeShade="BF"/>
        </w:rPr>
        <w:t>其他环境信息</w:t>
      </w:r>
      <w:bookmarkEnd w:id="290"/>
      <w:bookmarkEnd w:id="291"/>
      <w:bookmarkEnd w:id="292"/>
      <w:bookmarkEnd w:id="293"/>
      <w:bookmarkEnd w:id="294"/>
    </w:p>
    <w:p>
      <w:pPr>
        <w:rPr>
          <w:rFonts w:ascii="Times New Roman" w:hAnsi="Times New Roman"/>
        </w:rPr>
      </w:pPr>
    </w:p>
    <w:p>
      <w:pPr>
        <w:pStyle w:val="2"/>
        <w:tabs>
          <w:tab w:val="left" w:pos="6800"/>
        </w:tabs>
        <w:spacing w:line="360" w:lineRule="auto"/>
        <w:ind w:left="0" w:leftChars="0" w:firstLine="480" w:firstLineChars="0"/>
        <w:rPr>
          <w:rFonts w:hint="default" w:ascii="Times New Roman" w:hAnsi="Times New Roman" w:eastAsia="宋体" w:cs="宋体"/>
          <w:color w:val="000000"/>
          <w:sz w:val="24"/>
          <w:szCs w:val="24"/>
          <w:shd w:val="clear" w:color="auto" w:fill="FFFFFF"/>
        </w:rPr>
      </w:pPr>
      <w:r>
        <w:rPr>
          <w:rFonts w:hint="default" w:ascii="Times New Roman" w:hAnsi="Times New Roman" w:eastAsia="宋体" w:cs="宋体"/>
          <w:color w:val="000000"/>
          <w:sz w:val="24"/>
          <w:szCs w:val="24"/>
          <w:shd w:val="clear" w:color="auto" w:fill="FFFFFF"/>
        </w:rPr>
        <w:t>报告期内，本行未有涉环境和安全生产违法违规、淘汰落后产能的企业贷款，未有因生态环境违法行为被追究刑事责任或者受到重大行政处罚的信息。</w:t>
      </w:r>
    </w:p>
    <w:p>
      <w:pPr>
        <w:pStyle w:val="2"/>
        <w:tabs>
          <w:tab w:val="left" w:pos="6800"/>
        </w:tabs>
        <w:spacing w:line="360" w:lineRule="auto"/>
        <w:ind w:left="0" w:leftChars="0" w:firstLine="480" w:firstLineChars="0"/>
        <w:rPr>
          <w:rFonts w:ascii="Times New Roman" w:hAnsi="Times New Roman" w:eastAsia="宋体" w:cs="宋体"/>
          <w:color w:val="000000"/>
          <w:sz w:val="24"/>
          <w:szCs w:val="24"/>
          <w:shd w:val="clear" w:color="auto" w:fill="FFFFFF"/>
        </w:rPr>
      </w:pPr>
      <w:r>
        <w:rPr>
          <w:rFonts w:hint="default" w:ascii="Times New Roman" w:hAnsi="Times New Roman" w:eastAsia="宋体" w:cs="宋体"/>
          <w:color w:val="000000"/>
          <w:sz w:val="24"/>
          <w:szCs w:val="24"/>
          <w:shd w:val="clear" w:color="auto" w:fill="FFFFFF"/>
        </w:rPr>
        <w:br w:type="page"/>
      </w:r>
    </w:p>
    <w:p>
      <w:pPr>
        <w:pStyle w:val="4"/>
        <w:spacing w:line="360" w:lineRule="auto"/>
        <w:rPr>
          <w:color w:val="2E75B6" w:themeColor="accent5" w:themeShade="BF"/>
        </w:rPr>
      </w:pPr>
      <w:bookmarkStart w:id="295" w:name="_Toc10739"/>
      <w:bookmarkStart w:id="296" w:name="_Toc26518"/>
      <w:bookmarkStart w:id="297" w:name="_Toc27860"/>
      <w:bookmarkStart w:id="298" w:name="_Toc13324"/>
      <w:bookmarkStart w:id="299" w:name="_Toc26453"/>
      <w:r>
        <w:rPr>
          <w:rFonts w:hint="eastAsia"/>
          <w:color w:val="2E75B6" w:themeColor="accent5" w:themeShade="BF"/>
        </w:rPr>
        <w:t>第十一部分 未来展望</w:t>
      </w:r>
      <w:bookmarkEnd w:id="295"/>
      <w:bookmarkEnd w:id="296"/>
      <w:bookmarkEnd w:id="297"/>
      <w:bookmarkEnd w:id="298"/>
      <w:bookmarkEnd w:id="299"/>
    </w:p>
    <w:p>
      <w:pPr>
        <w:pStyle w:val="2"/>
        <w:spacing w:after="0" w:line="360" w:lineRule="auto"/>
        <w:ind w:left="0" w:leftChars="0" w:firstLine="0" w:firstLineChars="0"/>
        <w:rPr>
          <w:rFonts w:hint="default" w:ascii="Times New Roman" w:hAnsi="Times New Roman" w:eastAsia="宋体" w:cs="宋体"/>
          <w:sz w:val="24"/>
          <w:szCs w:val="28"/>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行将积极响应国家“碳达峰碳中和”战略，持续完善绿色金融发展战略，完善环境治理结构，优化绿色金融激励机制，逐步丰富绿色金融产品，引导金融资源向绿色发展领域倾斜，提升环境风险的防控能力，加强环境信息披露。</w:t>
      </w:r>
    </w:p>
    <w:p>
      <w:pPr>
        <w:pStyle w:val="8"/>
        <w:numPr>
          <w:ilvl w:val="0"/>
          <w:numId w:val="25"/>
        </w:numPr>
        <w:spacing w:line="360" w:lineRule="auto"/>
        <w:ind w:firstLine="200" w:firstLineChars="0"/>
        <w:rPr>
          <w:rFonts w:ascii="Times New Roman" w:hAnsi="Times New Roman" w:eastAsia="宋体"/>
          <w:b/>
          <w:bCs/>
          <w:color w:val="2E75B6" w:themeColor="accent5" w:themeShade="BF"/>
          <w:sz w:val="24"/>
          <w:szCs w:val="24"/>
        </w:rPr>
      </w:pPr>
      <w:r>
        <w:rPr>
          <w:rFonts w:hint="eastAsia" w:ascii="Times New Roman" w:hAnsi="Times New Roman" w:eastAsia="宋体"/>
          <w:b/>
          <w:bCs/>
          <w:color w:val="2E75B6" w:themeColor="accent5" w:themeShade="BF"/>
          <w:sz w:val="24"/>
          <w:szCs w:val="24"/>
        </w:rPr>
        <w:t>强化绿色金融计量基础和统计水平</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本行将持续优化投融资环境影响的测算与表达，引入第三方公司专业化服务，搭建环境效益测算系统，实现科技赋能、向优取经。强化统计各项自然资源的消耗量，改进经营活动环境影响的计算方式。</w:t>
      </w:r>
    </w:p>
    <w:p>
      <w:pPr>
        <w:pStyle w:val="8"/>
        <w:numPr>
          <w:ilvl w:val="0"/>
          <w:numId w:val="25"/>
        </w:numPr>
        <w:spacing w:line="360" w:lineRule="auto"/>
        <w:ind w:firstLine="200" w:firstLineChars="0"/>
        <w:rPr>
          <w:rFonts w:ascii="Times New Roman" w:hAnsi="Times New Roman" w:eastAsia="宋体"/>
          <w:b/>
          <w:bCs/>
          <w:color w:val="2E75B6" w:themeColor="accent5" w:themeShade="BF"/>
          <w:sz w:val="24"/>
          <w:szCs w:val="24"/>
        </w:rPr>
      </w:pPr>
      <w:r>
        <w:rPr>
          <w:rFonts w:hint="eastAsia" w:ascii="Times New Roman" w:hAnsi="Times New Roman" w:eastAsia="宋体"/>
          <w:b/>
          <w:bCs/>
          <w:color w:val="2E75B6" w:themeColor="accent5" w:themeShade="BF"/>
          <w:sz w:val="24"/>
          <w:szCs w:val="24"/>
        </w:rPr>
        <w:t>提高气候风险管理的意识和能力</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本行将加强对气候转型风险的认识，了解其对金融系统的传导路径，探索将</w:t>
      </w:r>
      <w:r>
        <w:rPr>
          <w:rFonts w:ascii="Times New Roman" w:hAnsi="Times New Roman" w:eastAsia="宋体"/>
          <w:sz w:val="24"/>
          <w:szCs w:val="24"/>
        </w:rPr>
        <w:t>ESG</w:t>
      </w:r>
      <w:r>
        <w:rPr>
          <w:rFonts w:hint="eastAsia" w:ascii="Times New Roman" w:hAnsi="Times New Roman" w:eastAsia="宋体"/>
          <w:sz w:val="24"/>
          <w:szCs w:val="24"/>
        </w:rPr>
        <w:t>风险因子纳入风险管理框架；定期开展气候风险压力测试，加强环境信息披露。</w:t>
      </w:r>
    </w:p>
    <w:p>
      <w:pPr>
        <w:pStyle w:val="8"/>
        <w:numPr>
          <w:ilvl w:val="0"/>
          <w:numId w:val="25"/>
        </w:numPr>
        <w:spacing w:line="360" w:lineRule="auto"/>
        <w:ind w:firstLine="200" w:firstLineChars="0"/>
        <w:rPr>
          <w:rFonts w:ascii="Times New Roman" w:hAnsi="Times New Roman" w:eastAsia="宋体"/>
          <w:b/>
          <w:bCs/>
          <w:color w:val="2E75B6" w:themeColor="accent5" w:themeShade="BF"/>
          <w:sz w:val="24"/>
          <w:szCs w:val="24"/>
        </w:rPr>
      </w:pPr>
      <w:r>
        <w:rPr>
          <w:rFonts w:hint="eastAsia" w:ascii="Times New Roman" w:hAnsi="Times New Roman" w:eastAsia="宋体"/>
          <w:b/>
          <w:bCs/>
          <w:color w:val="2E75B6" w:themeColor="accent5" w:themeShade="BF"/>
          <w:sz w:val="24"/>
          <w:szCs w:val="24"/>
        </w:rPr>
        <w:t>创新绿色金融产品和服务模式</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本行将积极探索和创新碳排放权、水权、节能环保项目特许经营权等抵质押融资模式，推出以环保贷为特色的绿色金融产品，支持绿色产业领域的发展。积极寻求发行绿色债券的机遇，拓宽绿色金融业务渠道。</w:t>
      </w:r>
    </w:p>
    <w:p>
      <w:pPr>
        <w:pStyle w:val="8"/>
        <w:numPr>
          <w:ilvl w:val="0"/>
          <w:numId w:val="25"/>
        </w:numPr>
        <w:spacing w:line="360" w:lineRule="auto"/>
        <w:ind w:firstLine="200" w:firstLineChars="0"/>
        <w:rPr>
          <w:rFonts w:ascii="Times New Roman" w:hAnsi="Times New Roman" w:eastAsia="宋体"/>
          <w:b/>
          <w:bCs/>
          <w:color w:val="2E75B6" w:themeColor="accent5" w:themeShade="BF"/>
          <w:sz w:val="24"/>
          <w:szCs w:val="24"/>
        </w:rPr>
      </w:pPr>
      <w:r>
        <w:rPr>
          <w:rFonts w:hint="eastAsia" w:ascii="Times New Roman" w:hAnsi="Times New Roman" w:eastAsia="宋体"/>
          <w:b/>
          <w:bCs/>
          <w:color w:val="2E75B6" w:themeColor="accent5" w:themeShade="BF"/>
          <w:sz w:val="24"/>
          <w:szCs w:val="24"/>
        </w:rPr>
        <w:t>积极参与绿色金融相关课题研究</w:t>
      </w:r>
    </w:p>
    <w:p>
      <w:pPr>
        <w:pStyle w:val="2"/>
        <w:spacing w:line="360" w:lineRule="auto"/>
        <w:ind w:left="0" w:leftChars="0" w:firstLine="480"/>
        <w:rPr>
          <w:rFonts w:hint="default" w:ascii="Times New Roman" w:hAnsi="Times New Roman" w:eastAsia="宋体"/>
          <w:sz w:val="24"/>
          <w:szCs w:val="24"/>
        </w:rPr>
      </w:pPr>
      <w:r>
        <w:rPr>
          <w:rFonts w:ascii="Times New Roman" w:hAnsi="Times New Roman" w:eastAsia="宋体"/>
          <w:sz w:val="24"/>
          <w:szCs w:val="24"/>
        </w:rPr>
        <w:t>本行将积极参与监管机构、学术研究机构、专业第三方机构等内外部绿色金融课题调研工作，持续巩固和提升自身的学术和理论研究水平。</w:t>
      </w:r>
    </w:p>
    <w:p>
      <w:pPr>
        <w:pStyle w:val="8"/>
        <w:numPr>
          <w:ilvl w:val="0"/>
          <w:numId w:val="25"/>
        </w:numPr>
        <w:spacing w:line="360" w:lineRule="auto"/>
        <w:ind w:firstLine="200" w:firstLineChars="0"/>
        <w:rPr>
          <w:rFonts w:ascii="Times New Roman" w:hAnsi="Times New Roman" w:eastAsia="宋体"/>
          <w:b/>
          <w:bCs/>
          <w:color w:val="2E75B6" w:themeColor="accent5" w:themeShade="BF"/>
          <w:sz w:val="24"/>
          <w:szCs w:val="24"/>
        </w:rPr>
      </w:pPr>
      <w:r>
        <w:rPr>
          <w:rFonts w:hint="eastAsia" w:ascii="Times New Roman" w:hAnsi="Times New Roman" w:eastAsia="宋体"/>
          <w:b/>
          <w:bCs/>
          <w:color w:val="2E75B6" w:themeColor="accent5" w:themeShade="BF"/>
          <w:sz w:val="24"/>
          <w:szCs w:val="24"/>
        </w:rPr>
        <w:t>加强绿色低碳理念的宣贯</w:t>
      </w:r>
    </w:p>
    <w:p>
      <w:pPr>
        <w:pStyle w:val="2"/>
        <w:spacing w:line="360" w:lineRule="auto"/>
        <w:ind w:left="0" w:leftChars="0" w:firstLine="480"/>
        <w:rPr>
          <w:rFonts w:hint="default" w:ascii="Times New Roman" w:hAnsi="Times New Roman"/>
        </w:rPr>
      </w:pPr>
      <w:r>
        <w:rPr>
          <w:rFonts w:hint="default" w:ascii="Times New Roman" w:hAnsi="Times New Roman" w:eastAsia="宋体"/>
          <w:sz w:val="24"/>
          <w:szCs w:val="24"/>
        </w:rPr>
        <w:t>本行将持续加强宣传“绿色环保”理念，通过倡导绿色生活、组织绿色公益活动、开展绿色金融宣讲等方式提升员工及社会大众的环保意识。</w:t>
      </w:r>
    </w:p>
    <w:p>
      <w:pPr>
        <w:spacing w:line="360" w:lineRule="auto"/>
        <w:rPr>
          <w:rFonts w:ascii="Times New Roman" w:hAnsi="Times New Roman" w:eastAsia="宋体"/>
          <w:sz w:val="24"/>
          <w:szCs w:val="24"/>
        </w:rPr>
      </w:pPr>
      <w:r>
        <w:rPr>
          <w:rFonts w:ascii="Times New Roman" w:hAnsi="Times New Roman" w:eastAsia="宋体"/>
          <w:sz w:val="24"/>
          <w:szCs w:val="24"/>
        </w:rPr>
        <w:br w:type="page"/>
      </w:r>
    </w:p>
    <w:bookmarkEnd w:id="196"/>
    <w:bookmarkEnd w:id="289"/>
    <w:p>
      <w:pPr>
        <w:pStyle w:val="4"/>
        <w:spacing w:line="360" w:lineRule="auto"/>
        <w:jc w:val="both"/>
        <w:rPr>
          <w:rFonts w:cs="黑体"/>
          <w:color w:val="2E75B6" w:themeColor="accent5" w:themeShade="BF"/>
        </w:rPr>
      </w:pPr>
      <w:bookmarkStart w:id="300" w:name="_Toc15461"/>
      <w:bookmarkStart w:id="301" w:name="_Toc8147"/>
      <w:bookmarkStart w:id="302" w:name="_Toc16638"/>
      <w:bookmarkStart w:id="303" w:name="_Toc12011"/>
      <w:bookmarkStart w:id="304" w:name="_Toc29409"/>
      <w:r>
        <w:rPr>
          <w:rFonts w:hint="eastAsia" w:cs="黑体"/>
          <w:color w:val="2E75B6" w:themeColor="accent5" w:themeShade="BF"/>
        </w:rPr>
        <w:t>附录</w:t>
      </w:r>
      <w:r>
        <w:rPr>
          <w:rFonts w:cs="黑体"/>
          <w:color w:val="2E75B6" w:themeColor="accent5" w:themeShade="BF"/>
        </w:rPr>
        <w:t>1</w:t>
      </w:r>
      <w:r>
        <w:rPr>
          <w:rFonts w:hint="eastAsia" w:cs="黑体"/>
          <w:color w:val="2E75B6" w:themeColor="accent5" w:themeShade="BF"/>
        </w:rPr>
        <w:t>：《金融机构环境信息披露指南》索引目录</w:t>
      </w:r>
      <w:bookmarkEnd w:id="300"/>
      <w:bookmarkEnd w:id="301"/>
      <w:bookmarkEnd w:id="302"/>
      <w:bookmarkEnd w:id="303"/>
      <w:bookmarkEnd w:id="304"/>
    </w:p>
    <w:tbl>
      <w:tblPr>
        <w:tblStyle w:val="70"/>
        <w:tblW w:w="5000" w:type="pct"/>
        <w:jc w:val="cente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fixed"/>
        <w:tblCellMar>
          <w:top w:w="0" w:type="dxa"/>
          <w:left w:w="108" w:type="dxa"/>
          <w:bottom w:w="0" w:type="dxa"/>
          <w:right w:w="108" w:type="dxa"/>
        </w:tblCellMar>
      </w:tblPr>
      <w:tblGrid>
        <w:gridCol w:w="6159"/>
        <w:gridCol w:w="2363"/>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709" w:hRule="atLeast"/>
          <w:jc w:val="center"/>
        </w:trPr>
        <w:tc>
          <w:tcPr>
            <w:tcW w:w="6159" w:type="dxa"/>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vAlign w:val="center"/>
          </w:tcPr>
          <w:p>
            <w:pPr>
              <w:spacing w:line="360" w:lineRule="auto"/>
              <w:jc w:val="center"/>
              <w:rPr>
                <w:rFonts w:ascii="黑体" w:hAnsi="黑体" w:eastAsia="黑体"/>
                <w:b w:val="0"/>
                <w:bCs w:val="0"/>
                <w:color w:val="FFFFFF"/>
                <w:szCs w:val="21"/>
              </w:rPr>
            </w:pPr>
            <w:r>
              <w:rPr>
                <w:rFonts w:hint="eastAsia" w:ascii="黑体" w:hAnsi="黑体" w:eastAsia="黑体"/>
                <w:b/>
                <w:bCs/>
                <w:color w:val="FFFFFF"/>
                <w:szCs w:val="21"/>
              </w:rPr>
              <w:t>指标内容</w:t>
            </w:r>
          </w:p>
        </w:tc>
        <w:tc>
          <w:tcPr>
            <w:tcW w:w="2363" w:type="dxa"/>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vAlign w:val="center"/>
          </w:tcPr>
          <w:p>
            <w:pPr>
              <w:spacing w:line="360" w:lineRule="auto"/>
              <w:jc w:val="center"/>
              <w:rPr>
                <w:rFonts w:ascii="黑体" w:hAnsi="黑体" w:eastAsia="黑体"/>
                <w:b w:val="0"/>
                <w:bCs w:val="0"/>
                <w:color w:val="FFFFFF"/>
                <w:szCs w:val="21"/>
              </w:rPr>
            </w:pPr>
            <w:r>
              <w:rPr>
                <w:rFonts w:hint="eastAsia" w:ascii="黑体" w:hAnsi="黑体" w:eastAsia="黑体"/>
                <w:b/>
                <w:bCs/>
                <w:color w:val="FFFFFF"/>
                <w:szCs w:val="21"/>
              </w:rPr>
              <w:t>对应披露内容索引</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bookmarkStart w:id="305" w:name="_Hlk70928613"/>
            <w:r>
              <w:rPr>
                <w:rFonts w:ascii="黑体" w:hAnsi="黑体" w:eastAsia="黑体"/>
                <w:b/>
                <w:bCs/>
                <w:szCs w:val="21"/>
              </w:rPr>
              <w:t>1.</w:t>
            </w:r>
            <w:bookmarkEnd w:id="305"/>
            <w:r>
              <w:rPr>
                <w:rFonts w:hint="eastAsia" w:ascii="黑体" w:hAnsi="黑体" w:eastAsia="黑体"/>
                <w:b/>
                <w:bCs/>
                <w:szCs w:val="21"/>
              </w:rPr>
              <w:t>年度概况</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vAlign w:val="center"/>
          </w:tcPr>
          <w:p>
            <w:pPr>
              <w:spacing w:line="360" w:lineRule="auto"/>
              <w:rPr>
                <w:rFonts w:ascii="黑体" w:hAnsi="黑体" w:eastAsia="黑体"/>
                <w:b w:val="0"/>
                <w:bCs w:val="0"/>
                <w:szCs w:val="21"/>
              </w:rPr>
            </w:pPr>
            <w:bookmarkStart w:id="306" w:name="_Hlk83290575"/>
            <w:r>
              <w:rPr>
                <w:rFonts w:ascii="黑体" w:hAnsi="黑体" w:eastAsia="黑体"/>
                <w:b/>
                <w:bCs/>
                <w:szCs w:val="21"/>
              </w:rPr>
              <w:t>2</w:t>
            </w:r>
            <w:bookmarkEnd w:id="306"/>
            <w:r>
              <w:rPr>
                <w:rFonts w:ascii="黑体" w:hAnsi="黑体" w:eastAsia="黑体"/>
                <w:b/>
                <w:bCs/>
                <w:szCs w:val="21"/>
              </w:rPr>
              <w:t>.</w:t>
            </w:r>
            <w:r>
              <w:rPr>
                <w:rFonts w:hint="eastAsia" w:ascii="黑体" w:hAnsi="黑体" w:eastAsia="黑体"/>
                <w:b/>
                <w:bCs/>
                <w:szCs w:val="21"/>
              </w:rPr>
              <w:t>金融机构环境相关治理结构</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3.</w:t>
            </w:r>
            <w:r>
              <w:rPr>
                <w:rFonts w:hint="eastAsia" w:ascii="黑体" w:hAnsi="黑体" w:eastAsia="黑体"/>
                <w:b/>
                <w:bCs/>
                <w:szCs w:val="21"/>
              </w:rPr>
              <w:t>金融机构环境相关政策制度</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4.</w:t>
            </w:r>
            <w:r>
              <w:rPr>
                <w:rFonts w:hint="eastAsia" w:ascii="黑体" w:hAnsi="黑体" w:eastAsia="黑体"/>
                <w:b/>
                <w:bCs/>
                <w:szCs w:val="21"/>
              </w:rPr>
              <w:t>金融机构环境相关产品与服务创新</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bookmarkStart w:id="307" w:name="_Hlk83289770"/>
            <w:r>
              <w:rPr>
                <w:rFonts w:ascii="黑体" w:hAnsi="黑体" w:eastAsia="黑体"/>
                <w:b/>
                <w:bCs/>
                <w:szCs w:val="21"/>
              </w:rPr>
              <w:t>5.</w:t>
            </w:r>
            <w:bookmarkEnd w:id="307"/>
            <w:r>
              <w:rPr>
                <w:rFonts w:hint="eastAsia" w:ascii="黑体" w:hAnsi="黑体" w:eastAsia="黑体"/>
                <w:b/>
                <w:bCs/>
                <w:szCs w:val="21"/>
              </w:rPr>
              <w:t>金融机构环境风险管理流程</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6.</w:t>
            </w:r>
            <w:r>
              <w:rPr>
                <w:rFonts w:hint="eastAsia" w:ascii="黑体" w:hAnsi="黑体" w:eastAsia="黑体"/>
                <w:b/>
                <w:bCs/>
                <w:szCs w:val="21"/>
              </w:rPr>
              <w:t>金融机构环境因素影响</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629"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 xml:space="preserve">6.1 </w:t>
            </w:r>
            <w:r>
              <w:rPr>
                <w:rFonts w:hint="eastAsia" w:ascii="黑体" w:hAnsi="黑体" w:eastAsia="黑体"/>
                <w:b/>
                <w:bCs/>
                <w:szCs w:val="21"/>
              </w:rPr>
              <w:t>金融机构环境风险与机遇</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4"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 xml:space="preserve">6.2 </w:t>
            </w:r>
            <w:r>
              <w:rPr>
                <w:rFonts w:hint="eastAsia" w:ascii="黑体" w:hAnsi="黑体" w:eastAsia="黑体"/>
                <w:b/>
                <w:bCs/>
                <w:szCs w:val="21"/>
              </w:rPr>
              <w:t>金融机构环境风险量化分析</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4"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7.</w:t>
            </w:r>
            <w:r>
              <w:rPr>
                <w:rFonts w:hint="eastAsia" w:ascii="黑体" w:hAnsi="黑体" w:eastAsia="黑体"/>
                <w:b/>
                <w:bCs/>
                <w:szCs w:val="21"/>
              </w:rPr>
              <w:t>金融机构投融资活动的环境影响</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4"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 xml:space="preserve">7.1 </w:t>
            </w:r>
            <w:r>
              <w:rPr>
                <w:rFonts w:hint="eastAsia" w:ascii="黑体" w:hAnsi="黑体" w:eastAsia="黑体"/>
                <w:b/>
                <w:bCs/>
                <w:szCs w:val="21"/>
              </w:rPr>
              <w:t>投融资所产生的环境影响</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4"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 xml:space="preserve">7.2 </w:t>
            </w:r>
            <w:r>
              <w:rPr>
                <w:rFonts w:hint="eastAsia" w:ascii="黑体" w:hAnsi="黑体" w:eastAsia="黑体"/>
                <w:b/>
                <w:bCs/>
                <w:szCs w:val="21"/>
              </w:rPr>
              <w:t>投融资环境影响的量化测算与表达</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4"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8.</w:t>
            </w:r>
            <w:r>
              <w:rPr>
                <w:rFonts w:hint="eastAsia" w:ascii="黑体" w:hAnsi="黑体" w:eastAsia="黑体"/>
                <w:b/>
                <w:bCs/>
                <w:szCs w:val="21"/>
              </w:rPr>
              <w:t>金融机构经营活动的环境影响</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5"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 xml:space="preserve">8.1 </w:t>
            </w:r>
            <w:r>
              <w:rPr>
                <w:rFonts w:hint="eastAsia" w:ascii="黑体" w:hAnsi="黑体" w:eastAsia="黑体"/>
                <w:b/>
                <w:bCs/>
                <w:szCs w:val="21"/>
              </w:rPr>
              <w:t>金融机构经营活动产生的直接温室气体排放和自然资源消耗</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925"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 xml:space="preserve">8.2 </w:t>
            </w:r>
            <w:r>
              <w:rPr>
                <w:rFonts w:hint="eastAsia" w:ascii="黑体" w:hAnsi="黑体" w:eastAsia="黑体"/>
                <w:b/>
                <w:bCs/>
                <w:szCs w:val="21"/>
              </w:rPr>
              <w:t>金融机构采购的产品或服务所产生的间接温室气体排放和间接自然资源消耗</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6"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 xml:space="preserve">8.3 </w:t>
            </w:r>
            <w:r>
              <w:rPr>
                <w:rFonts w:hint="eastAsia" w:ascii="黑体" w:hAnsi="黑体" w:eastAsia="黑体"/>
                <w:b/>
                <w:bCs/>
                <w:szCs w:val="21"/>
              </w:rPr>
              <w:t>金融机构</w:t>
            </w:r>
            <w:r>
              <w:rPr>
                <w:rFonts w:hint="eastAsia" w:ascii="黑体" w:hAnsi="黑体" w:eastAsia="黑体"/>
                <w:b/>
                <w:bCs/>
                <w:szCs w:val="21"/>
                <w:lang w:val="en-US" w:eastAsia="zh-CN"/>
              </w:rPr>
              <w:t>员工通勤</w:t>
            </w:r>
            <w:r>
              <w:rPr>
                <w:rFonts w:hint="eastAsia" w:ascii="黑体" w:hAnsi="黑体" w:eastAsia="黑体"/>
                <w:b/>
                <w:bCs/>
                <w:szCs w:val="21"/>
              </w:rPr>
              <w:t>产生的间接温室气体排放和间接自然资源消耗</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44" w:hRule="atLeast"/>
          <w:jc w:val="center"/>
        </w:trPr>
        <w:tc>
          <w:tcPr>
            <w:tcW w:w="6159" w:type="dxa"/>
            <w:vAlign w:val="center"/>
          </w:tcPr>
          <w:p>
            <w:pPr>
              <w:spacing w:line="360" w:lineRule="auto"/>
              <w:rPr>
                <w:rFonts w:ascii="黑体" w:hAnsi="黑体" w:eastAsia="黑体"/>
                <w:b w:val="0"/>
                <w:bCs w:val="0"/>
                <w:szCs w:val="21"/>
              </w:rPr>
            </w:pPr>
            <w:r>
              <w:rPr>
                <w:rFonts w:ascii="黑体" w:hAnsi="黑体" w:eastAsia="黑体"/>
                <w:b/>
                <w:bCs/>
                <w:szCs w:val="21"/>
              </w:rPr>
              <w:t xml:space="preserve">8.4 </w:t>
            </w:r>
            <w:r>
              <w:rPr>
                <w:rFonts w:hint="eastAsia" w:ascii="黑体" w:hAnsi="黑体" w:eastAsia="黑体"/>
                <w:b/>
                <w:bCs/>
                <w:szCs w:val="21"/>
              </w:rPr>
              <w:t>金融机构环保措施所产生的环境效益</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shd w:val="clear" w:color="auto" w:fill="DEEAF6" w:themeFill="accent5" w:themeFillTint="33"/>
            <w:vAlign w:val="center"/>
          </w:tcPr>
          <w:p>
            <w:pPr>
              <w:spacing w:line="360" w:lineRule="auto"/>
              <w:rPr>
                <w:rFonts w:ascii="黑体" w:hAnsi="黑体" w:eastAsia="黑体"/>
                <w:b w:val="0"/>
                <w:bCs w:val="0"/>
                <w:szCs w:val="21"/>
              </w:rPr>
            </w:pPr>
            <w:r>
              <w:rPr>
                <w:rFonts w:ascii="黑体" w:hAnsi="黑体" w:eastAsia="黑体"/>
                <w:b/>
                <w:bCs/>
                <w:szCs w:val="21"/>
              </w:rPr>
              <w:t>8.</w:t>
            </w:r>
            <w:r>
              <w:rPr>
                <w:rFonts w:hint="eastAsia" w:ascii="黑体" w:hAnsi="黑体" w:eastAsia="黑体"/>
                <w:b/>
                <w:bCs/>
                <w:szCs w:val="21"/>
                <w:lang w:val="en-US" w:eastAsia="zh-CN"/>
              </w:rPr>
              <w:t>5</w:t>
            </w:r>
            <w:r>
              <w:rPr>
                <w:rFonts w:ascii="黑体" w:hAnsi="黑体" w:eastAsia="黑体"/>
                <w:b/>
                <w:bCs/>
                <w:szCs w:val="21"/>
              </w:rPr>
              <w:t xml:space="preserve"> </w:t>
            </w:r>
            <w:r>
              <w:rPr>
                <w:rFonts w:hint="eastAsia" w:ascii="黑体" w:hAnsi="黑体" w:eastAsia="黑体"/>
                <w:b/>
                <w:bCs/>
                <w:szCs w:val="21"/>
              </w:rPr>
              <w:t>经营活动环境影响的量化测算</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vAlign w:val="center"/>
          </w:tcPr>
          <w:p>
            <w:pPr>
              <w:spacing w:line="360" w:lineRule="auto"/>
              <w:rPr>
                <w:rFonts w:ascii="黑体" w:hAnsi="黑体" w:eastAsia="黑体" w:cstheme="minorBidi"/>
                <w:b w:val="0"/>
                <w:bCs w:val="0"/>
                <w:kern w:val="2"/>
                <w:sz w:val="21"/>
                <w:szCs w:val="21"/>
                <w:lang w:val="en-US" w:eastAsia="zh-CN" w:bidi="ar-SA"/>
              </w:rPr>
            </w:pPr>
            <w:r>
              <w:rPr>
                <w:rFonts w:ascii="黑体" w:hAnsi="黑体" w:eastAsia="黑体"/>
                <w:b/>
                <w:bCs/>
                <w:szCs w:val="21"/>
              </w:rPr>
              <w:t xml:space="preserve">9. </w:t>
            </w:r>
            <w:r>
              <w:rPr>
                <w:rFonts w:hint="eastAsia" w:ascii="黑体" w:hAnsi="黑体" w:eastAsia="黑体"/>
                <w:b/>
                <w:bCs/>
                <w:szCs w:val="21"/>
              </w:rPr>
              <w:t>数据梳理、校验及保护</w:t>
            </w:r>
          </w:p>
        </w:tc>
        <w:tc>
          <w:tcPr>
            <w:tcW w:w="2363" w:type="dxa"/>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shd w:val="clear" w:color="auto" w:fill="DEEAF6" w:themeFill="accent5" w:themeFillTint="33"/>
            <w:vAlign w:val="center"/>
          </w:tcPr>
          <w:p>
            <w:pPr>
              <w:spacing w:line="360" w:lineRule="auto"/>
              <w:rPr>
                <w:rFonts w:ascii="黑体" w:hAnsi="黑体" w:eastAsia="黑体" w:cstheme="minorBidi"/>
                <w:b w:val="0"/>
                <w:bCs w:val="0"/>
                <w:kern w:val="2"/>
                <w:sz w:val="21"/>
                <w:szCs w:val="21"/>
                <w:lang w:val="en-US" w:eastAsia="zh-CN" w:bidi="ar-SA"/>
              </w:rPr>
            </w:pPr>
            <w:r>
              <w:rPr>
                <w:rFonts w:ascii="黑体" w:hAnsi="黑体" w:eastAsia="黑体"/>
                <w:b/>
                <w:bCs/>
                <w:szCs w:val="21"/>
              </w:rPr>
              <w:t>10.</w:t>
            </w:r>
            <w:r>
              <w:rPr>
                <w:rFonts w:hint="eastAsia" w:ascii="黑体" w:hAnsi="黑体" w:eastAsia="黑体"/>
                <w:b/>
                <w:bCs/>
                <w:szCs w:val="21"/>
              </w:rPr>
              <w:t>绿色金融创新及研究成果</w:t>
            </w:r>
          </w:p>
        </w:tc>
        <w:tc>
          <w:tcPr>
            <w:tcW w:w="2363" w:type="dxa"/>
            <w:shd w:val="clear" w:color="auto" w:fill="DEEAF6" w:themeFill="accent5" w:themeFillTint="33"/>
            <w:vAlign w:val="center"/>
          </w:tcPr>
          <w:p>
            <w:pPr>
              <w:spacing w:line="360" w:lineRule="auto"/>
              <w:rPr>
                <w:rFonts w:ascii="黑体" w:hAnsi="黑体" w:eastAsia="黑体"/>
                <w:szCs w:val="21"/>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rPr>
          <w:trHeight w:val="555" w:hRule="atLeast"/>
          <w:jc w:val="center"/>
        </w:trPr>
        <w:tc>
          <w:tcPr>
            <w:tcW w:w="6159" w:type="dxa"/>
            <w:shd w:val="clear" w:color="auto" w:fill="DEEAF6" w:themeFill="accent5" w:themeFillTint="33"/>
            <w:vAlign w:val="center"/>
          </w:tcPr>
          <w:p>
            <w:pPr>
              <w:spacing w:line="360" w:lineRule="auto"/>
              <w:rPr>
                <w:rFonts w:ascii="黑体" w:hAnsi="黑体" w:eastAsia="黑体" w:cstheme="minorBidi"/>
                <w:b w:val="0"/>
                <w:bCs w:val="0"/>
                <w:kern w:val="2"/>
                <w:sz w:val="21"/>
                <w:szCs w:val="21"/>
                <w:lang w:val="en-US" w:eastAsia="zh-CN" w:bidi="ar-SA"/>
              </w:rPr>
            </w:pPr>
            <w:r>
              <w:rPr>
                <w:rFonts w:ascii="黑体" w:hAnsi="黑体" w:eastAsia="黑体"/>
                <w:b/>
                <w:bCs/>
                <w:szCs w:val="21"/>
              </w:rPr>
              <w:t>11.</w:t>
            </w:r>
            <w:r>
              <w:rPr>
                <w:rFonts w:hint="eastAsia" w:ascii="黑体" w:hAnsi="黑体" w:eastAsia="黑体"/>
                <w:b/>
                <w:bCs/>
                <w:szCs w:val="21"/>
              </w:rPr>
              <w:t>其他环境相关信息</w:t>
            </w:r>
          </w:p>
        </w:tc>
        <w:tc>
          <w:tcPr>
            <w:tcW w:w="2363" w:type="dxa"/>
            <w:shd w:val="clear" w:color="auto" w:fill="DEEAF6" w:themeFill="accent5" w:themeFillTint="33"/>
            <w:vAlign w:val="center"/>
          </w:tcPr>
          <w:p>
            <w:pPr>
              <w:spacing w:line="360" w:lineRule="auto"/>
              <w:rPr>
                <w:rFonts w:ascii="黑体" w:hAnsi="黑体" w:eastAsia="黑体"/>
                <w:szCs w:val="21"/>
              </w:rPr>
            </w:pPr>
          </w:p>
        </w:tc>
      </w:tr>
    </w:tbl>
    <w:p>
      <w:pPr>
        <w:widowControl/>
        <w:spacing w:line="360" w:lineRule="auto"/>
        <w:rPr>
          <w:rFonts w:ascii="Times New Roman" w:hAnsi="Times New Roman" w:eastAsia="楷体" w:cs="Times New Roman"/>
          <w:sz w:val="32"/>
          <w:szCs w:val="32"/>
        </w:rPr>
      </w:pPr>
    </w:p>
    <w:p>
      <w:pPr>
        <w:pStyle w:val="4"/>
        <w:spacing w:line="360" w:lineRule="auto"/>
        <w:jc w:val="both"/>
        <w:rPr>
          <w:rFonts w:cs="黑体"/>
          <w:color w:val="2E75B6" w:themeColor="accent5" w:themeShade="BF"/>
        </w:rPr>
      </w:pPr>
      <w:r>
        <w:rPr>
          <w:rFonts w:eastAsia="楷体" w:cs="Times New Roman"/>
          <w:sz w:val="32"/>
          <w:szCs w:val="32"/>
        </w:rPr>
        <w:br w:type="page"/>
      </w:r>
      <w:bookmarkStart w:id="308" w:name="_Toc27110"/>
      <w:bookmarkStart w:id="309" w:name="_Toc4846"/>
      <w:bookmarkStart w:id="310" w:name="_Toc20366"/>
      <w:r>
        <w:rPr>
          <w:rFonts w:hint="eastAsia" w:cs="黑体"/>
          <w:color w:val="2E75B6" w:themeColor="accent5" w:themeShade="BF"/>
        </w:rPr>
        <w:t>附录</w:t>
      </w:r>
      <w:r>
        <w:rPr>
          <w:rFonts w:cs="黑体"/>
          <w:color w:val="2E75B6" w:themeColor="accent5" w:themeShade="BF"/>
        </w:rPr>
        <w:t>2</w:t>
      </w:r>
      <w:r>
        <w:rPr>
          <w:rFonts w:hint="eastAsia" w:cs="黑体"/>
          <w:color w:val="2E75B6" w:themeColor="accent5" w:themeShade="BF"/>
        </w:rPr>
        <w:t>：测算方法</w:t>
      </w:r>
      <w:bookmarkEnd w:id="308"/>
      <w:bookmarkEnd w:id="309"/>
      <w:bookmarkEnd w:id="310"/>
    </w:p>
    <w:p>
      <w:pPr>
        <w:pStyle w:val="6"/>
        <w:spacing w:line="360" w:lineRule="auto"/>
        <w:jc w:val="both"/>
        <w:rPr>
          <w:bCs w:val="0"/>
          <w:color w:val="2E75B6" w:themeColor="accent5" w:themeShade="BF"/>
        </w:rPr>
      </w:pPr>
      <w:bookmarkStart w:id="311" w:name="_Toc26925"/>
      <w:bookmarkStart w:id="312" w:name="_Toc9616"/>
      <w:bookmarkStart w:id="313" w:name="_Toc31657"/>
      <w:bookmarkStart w:id="314" w:name="_Toc9187"/>
      <w:r>
        <w:rPr>
          <w:rFonts w:hint="eastAsia"/>
          <w:bCs w:val="0"/>
          <w:color w:val="2E75B6" w:themeColor="accent5" w:themeShade="BF"/>
        </w:rPr>
        <w:t>附录2.1</w:t>
      </w:r>
      <w:r>
        <w:rPr>
          <w:rFonts w:hint="eastAsia"/>
          <w:bCs w:val="0"/>
          <w:color w:val="2E75B6" w:themeColor="accent5" w:themeShade="BF"/>
          <w:lang w:eastAsia="zh-Hans"/>
        </w:rPr>
        <w:t>投融资</w:t>
      </w:r>
      <w:r>
        <w:rPr>
          <w:rFonts w:hint="eastAsia"/>
          <w:bCs w:val="0"/>
          <w:color w:val="2E75B6" w:themeColor="accent5" w:themeShade="BF"/>
        </w:rPr>
        <w:t>环境影响的量化测算</w:t>
      </w:r>
      <w:bookmarkEnd w:id="311"/>
      <w:bookmarkEnd w:id="312"/>
      <w:bookmarkEnd w:id="313"/>
      <w:bookmarkEnd w:id="314"/>
    </w:p>
    <w:p>
      <w:pPr>
        <w:spacing w:line="360" w:lineRule="auto"/>
        <w:ind w:firstLine="420"/>
        <w:rPr>
          <w:rFonts w:ascii="Times New Roman" w:hAnsi="Times New Roman" w:eastAsia="宋体" w:cs="宋体"/>
          <w:sz w:val="24"/>
          <w:szCs w:val="24"/>
        </w:rPr>
      </w:pPr>
      <w:r>
        <w:rPr>
          <w:rFonts w:hint="eastAsia" w:ascii="Times New Roman" w:hAnsi="Times New Roman" w:eastAsia="宋体" w:cs="宋体"/>
          <w:sz w:val="24"/>
          <w:szCs w:val="24"/>
        </w:rPr>
        <w:t>由于各行业在生产过程中存在相互消耗资源的情况，导致碳在行业间流动，从而使得行业的直接碳排放与完全碳排放之间可能存在较大差异。因此本行参考赵巧芝和闫庆友发表于《自然资源学报》的《基于投入产出的中国行业碳排放及减排效果模拟》，利用其“完全碳排放强度</w:t>
      </w:r>
      <w:r>
        <w:rPr>
          <w:rFonts w:ascii="Times New Roman" w:hAnsi="Times New Roman" w:eastAsia="宋体" w:cs="宋体"/>
          <w:sz w:val="24"/>
          <w:szCs w:val="24"/>
        </w:rPr>
        <w:t>[</w:t>
      </w:r>
      <w:r>
        <w:rPr>
          <w:rFonts w:hint="eastAsia" w:ascii="Times New Roman" w:hAnsi="Times New Roman" w:eastAsia="宋体" w:cs="宋体"/>
          <w:sz w:val="24"/>
          <w:szCs w:val="24"/>
        </w:rPr>
        <w:t>完全碳排放强度是指一个行业单位最终产品生产中所直接和间接产生的碳排放量。</w:t>
      </w:r>
      <w:r>
        <w:rPr>
          <w:rFonts w:ascii="Times New Roman" w:hAnsi="Times New Roman" w:eastAsia="宋体" w:cs="宋体"/>
          <w:sz w:val="24"/>
          <w:szCs w:val="24"/>
        </w:rPr>
        <w:t>]</w:t>
      </w:r>
      <w:r>
        <w:rPr>
          <w:rFonts w:hint="eastAsia" w:ascii="Times New Roman" w:hAnsi="Times New Roman" w:eastAsia="宋体" w:cs="宋体"/>
          <w:sz w:val="24"/>
          <w:szCs w:val="24"/>
        </w:rPr>
        <w:t>”指标测算投向各行业的贷款所产生的碳排放量。</w:t>
      </w:r>
    </w:p>
    <w:p>
      <w:pPr>
        <w:spacing w:line="360" w:lineRule="auto"/>
        <w:ind w:firstLine="420"/>
        <w:rPr>
          <w:rFonts w:ascii="Times New Roman" w:hAnsi="Times New Roman" w:eastAsia="宋体" w:cs="宋体"/>
          <w:sz w:val="24"/>
          <w:szCs w:val="24"/>
        </w:rPr>
      </w:pPr>
      <w:r>
        <w:rPr>
          <w:rFonts w:ascii="Times New Roman" w:hAnsi="Times New Roman" w:eastAsia="宋体" w:cs="宋体"/>
          <w:sz w:val="24"/>
          <w:szCs w:val="24"/>
        </w:rPr>
        <w:t>1.</w:t>
      </w:r>
      <w:r>
        <w:rPr>
          <w:rFonts w:hint="eastAsia" w:ascii="Times New Roman" w:hAnsi="Times New Roman" w:eastAsia="宋体" w:cs="宋体"/>
          <w:sz w:val="24"/>
          <w:szCs w:val="24"/>
        </w:rPr>
        <w:t>行业碳排放量测算方法</w:t>
      </w:r>
    </w:p>
    <w:p>
      <w:pPr>
        <w:spacing w:line="360" w:lineRule="auto"/>
        <w:ind w:firstLine="420"/>
        <w:rPr>
          <w:rFonts w:ascii="Times New Roman" w:hAnsi="Times New Roman" w:eastAsia="宋体" w:cs="宋体"/>
          <w:sz w:val="24"/>
          <w:szCs w:val="24"/>
        </w:rPr>
      </w:pPr>
      <w:r>
        <w:rPr>
          <w:rFonts w:hint="eastAsia" w:ascii="Times New Roman" w:hAnsi="Times New Roman" w:eastAsia="宋体" w:cs="宋体"/>
          <w:sz w:val="24"/>
          <w:szCs w:val="24"/>
        </w:rPr>
        <w:t>引用“投入产出方法”测度经济系统中行业间的二氧化碳流动特性，该方法能够全面反映国民经济各行业间的所有生产消耗关系，基本形式为：</w:t>
      </w:r>
    </w:p>
    <w:p>
      <w:pPr>
        <w:spacing w:line="360" w:lineRule="auto"/>
        <w:rPr>
          <w:rFonts w:ascii="Times New Roman" w:hAnsi="Times New Roman" w:eastAsia="宋体" w:cs="宋体"/>
          <w:sz w:val="24"/>
          <w:szCs w:val="24"/>
        </w:rPr>
      </w:pPr>
      <w:r>
        <w:rPr>
          <w:rFonts w:ascii="Times New Roman" w:hAnsi="Times New Roman" w:eastAsia="宋体" w:cs="宋体"/>
          <w:sz w:val="24"/>
          <w:szCs w:val="24"/>
        </w:rPr>
        <w:t>X=</w:t>
      </w:r>
      <w:r>
        <w:rPr>
          <w:rFonts w:hint="eastAsia" w:ascii="Times New Roman" w:hAnsi="Times New Roman" w:eastAsia="宋体" w:cs="宋体"/>
          <w:sz w:val="24"/>
          <w:szCs w:val="24"/>
        </w:rPr>
        <w:t>（</w:t>
      </w:r>
      <w:r>
        <w:rPr>
          <w:rFonts w:ascii="Times New Roman" w:hAnsi="Times New Roman" w:eastAsia="宋体" w:cs="宋体"/>
          <w:sz w:val="24"/>
          <w:szCs w:val="24"/>
        </w:rPr>
        <w:t>I-A</w:t>
      </w:r>
      <w:r>
        <w:rPr>
          <w:rFonts w:hint="eastAsia" w:ascii="Times New Roman" w:hAnsi="Times New Roman" w:eastAsia="宋体" w:cs="宋体"/>
          <w:sz w:val="24"/>
          <w:szCs w:val="24"/>
        </w:rPr>
        <w:t>）</w:t>
      </w:r>
      <w:r>
        <w:rPr>
          <w:rFonts w:ascii="Times New Roman" w:hAnsi="Times New Roman" w:eastAsia="宋体" w:cs="宋体"/>
          <w:sz w:val="24"/>
          <w:szCs w:val="24"/>
        </w:rPr>
        <w:t>-1</w:t>
      </w:r>
      <w:r>
        <w:rPr>
          <w:rFonts w:hint="eastAsia" w:ascii="Times New Roman" w:hAnsi="Times New Roman" w:eastAsia="宋体" w:cs="宋体"/>
          <w:sz w:val="24"/>
          <w:szCs w:val="24"/>
        </w:rPr>
        <w:t>×</w:t>
      </w:r>
      <w:r>
        <w:rPr>
          <w:rFonts w:ascii="Times New Roman" w:hAnsi="Times New Roman" w:eastAsia="宋体" w:cs="宋体"/>
          <w:sz w:val="24"/>
          <w:szCs w:val="24"/>
        </w:rPr>
        <w:t>Y</w:t>
      </w:r>
    </w:p>
    <w:p>
      <w:pPr>
        <w:spacing w:line="360" w:lineRule="auto"/>
        <w:ind w:firstLine="420"/>
        <w:rPr>
          <w:rFonts w:ascii="Times New Roman" w:hAnsi="Times New Roman" w:eastAsia="宋体" w:cs="宋体"/>
          <w:sz w:val="24"/>
          <w:szCs w:val="24"/>
        </w:rPr>
      </w:pPr>
      <w:r>
        <w:rPr>
          <w:rFonts w:hint="eastAsia" w:ascii="Times New Roman" w:hAnsi="Times New Roman" w:eastAsia="宋体" w:cs="宋体"/>
          <w:sz w:val="24"/>
          <w:szCs w:val="24"/>
        </w:rPr>
        <w:t>式中：</w:t>
      </w:r>
      <w:r>
        <w:rPr>
          <w:rFonts w:ascii="Times New Roman" w:hAnsi="Times New Roman" w:eastAsia="宋体" w:cs="宋体"/>
          <w:sz w:val="24"/>
          <w:szCs w:val="24"/>
        </w:rPr>
        <w:t>X</w:t>
      </w:r>
      <w:r>
        <w:rPr>
          <w:rFonts w:hint="eastAsia" w:ascii="Times New Roman" w:hAnsi="Times New Roman" w:eastAsia="宋体" w:cs="宋体"/>
          <w:sz w:val="24"/>
          <w:szCs w:val="24"/>
        </w:rPr>
        <w:t>为总产出列向量；</w:t>
      </w:r>
      <w:r>
        <w:rPr>
          <w:rFonts w:ascii="Times New Roman" w:hAnsi="Times New Roman" w:eastAsia="宋体" w:cs="宋体"/>
          <w:sz w:val="24"/>
          <w:szCs w:val="24"/>
        </w:rPr>
        <w:t>Y</w:t>
      </w:r>
      <w:r>
        <w:rPr>
          <w:rFonts w:hint="eastAsia" w:ascii="Times New Roman" w:hAnsi="Times New Roman" w:eastAsia="宋体" w:cs="宋体"/>
          <w:sz w:val="24"/>
          <w:szCs w:val="24"/>
        </w:rPr>
        <w:t>为最终产品列向量；</w:t>
      </w:r>
      <w:r>
        <w:rPr>
          <w:rFonts w:ascii="Times New Roman" w:hAnsi="Times New Roman" w:eastAsia="宋体" w:cs="宋体"/>
          <w:sz w:val="24"/>
          <w:szCs w:val="24"/>
        </w:rPr>
        <w:t>I</w:t>
      </w:r>
      <w:r>
        <w:rPr>
          <w:rFonts w:hint="eastAsia" w:ascii="Times New Roman" w:hAnsi="Times New Roman" w:eastAsia="宋体" w:cs="宋体"/>
          <w:sz w:val="24"/>
          <w:szCs w:val="24"/>
        </w:rPr>
        <w:t>为</w:t>
      </w:r>
      <w:r>
        <w:rPr>
          <w:rFonts w:ascii="Times New Roman" w:hAnsi="Times New Roman" w:eastAsia="宋体" w:cs="宋体"/>
          <w:sz w:val="24"/>
          <w:szCs w:val="24"/>
        </w:rPr>
        <w:t>n</w:t>
      </w:r>
      <w:r>
        <w:rPr>
          <w:rFonts w:hint="eastAsia" w:ascii="Times New Roman" w:hAnsi="Times New Roman" w:eastAsia="宋体" w:cs="宋体"/>
          <w:sz w:val="24"/>
          <w:szCs w:val="24"/>
        </w:rPr>
        <w:t>维单位矩阵；</w:t>
      </w:r>
      <w:r>
        <w:rPr>
          <w:rFonts w:ascii="Times New Roman" w:hAnsi="Times New Roman" w:eastAsia="宋体" w:cs="宋体"/>
          <w:sz w:val="24"/>
          <w:szCs w:val="24"/>
        </w:rPr>
        <w:t>A</w:t>
      </w:r>
      <w:r>
        <w:rPr>
          <w:rFonts w:hint="eastAsia" w:ascii="Times New Roman" w:hAnsi="Times New Roman" w:eastAsia="宋体" w:cs="宋体"/>
          <w:sz w:val="24"/>
          <w:szCs w:val="24"/>
        </w:rPr>
        <w:t>为行业间的直接消耗系数矩阵，直接消耗系数</w:t>
      </w:r>
      <w:r>
        <w:rPr>
          <w:rFonts w:ascii="Times New Roman" w:hAnsi="Times New Roman" w:eastAsia="宋体" w:cs="宋体"/>
          <w:sz w:val="24"/>
          <w:szCs w:val="24"/>
        </w:rPr>
        <w:t xml:space="preserve">aij = xij/Xj </w:t>
      </w:r>
      <w:r>
        <w:rPr>
          <w:rFonts w:hint="eastAsia" w:ascii="Times New Roman" w:hAnsi="Times New Roman" w:eastAsia="宋体" w:cs="宋体"/>
          <w:sz w:val="24"/>
          <w:szCs w:val="24"/>
        </w:rPr>
        <w:t>（</w:t>
      </w:r>
      <w:r>
        <w:rPr>
          <w:rFonts w:ascii="Times New Roman" w:hAnsi="Times New Roman" w:eastAsia="宋体" w:cs="宋体"/>
          <w:sz w:val="24"/>
          <w:szCs w:val="24"/>
        </w:rPr>
        <w:t>i,j = 1,2,</w:t>
      </w:r>
      <w:r>
        <w:rPr>
          <w:rFonts w:hint="eastAsia" w:ascii="MS Gothic" w:hAnsi="MS Gothic" w:eastAsia="MS Gothic" w:cs="MS Gothic"/>
          <w:sz w:val="24"/>
          <w:szCs w:val="24"/>
        </w:rPr>
        <w:t>⋯</w:t>
      </w:r>
      <w:r>
        <w:rPr>
          <w:rFonts w:ascii="Times New Roman" w:hAnsi="Times New Roman" w:eastAsia="宋体" w:cs="宋体"/>
          <w:sz w:val="24"/>
          <w:szCs w:val="24"/>
        </w:rPr>
        <w:t>,n</w:t>
      </w:r>
      <w:r>
        <w:rPr>
          <w:rFonts w:hint="eastAsia" w:ascii="Times New Roman" w:hAnsi="Times New Roman" w:eastAsia="宋体" w:cs="宋体"/>
          <w:sz w:val="24"/>
          <w:szCs w:val="24"/>
        </w:rPr>
        <w:t>），</w:t>
      </w:r>
      <w:r>
        <w:rPr>
          <w:rFonts w:ascii="Times New Roman" w:hAnsi="Times New Roman" w:eastAsia="宋体" w:cs="宋体"/>
          <w:sz w:val="24"/>
          <w:szCs w:val="24"/>
        </w:rPr>
        <w:t>xij</w:t>
      </w:r>
      <w:r>
        <w:rPr>
          <w:rFonts w:hint="eastAsia" w:ascii="Times New Roman" w:hAnsi="Times New Roman" w:eastAsia="宋体" w:cs="宋体"/>
          <w:sz w:val="24"/>
          <w:szCs w:val="24"/>
        </w:rPr>
        <w:t>是行业</w:t>
      </w:r>
      <w:r>
        <w:rPr>
          <w:rFonts w:ascii="Times New Roman" w:hAnsi="Times New Roman" w:eastAsia="宋体" w:cs="宋体"/>
          <w:sz w:val="24"/>
          <w:szCs w:val="24"/>
        </w:rPr>
        <w:t>j</w:t>
      </w:r>
      <w:r>
        <w:rPr>
          <w:rFonts w:hint="eastAsia" w:ascii="Times New Roman" w:hAnsi="Times New Roman" w:eastAsia="宋体" w:cs="宋体"/>
          <w:sz w:val="24"/>
          <w:szCs w:val="24"/>
        </w:rPr>
        <w:t>生产过程中直接消耗行业</w:t>
      </w:r>
      <w:r>
        <w:rPr>
          <w:rFonts w:ascii="Times New Roman" w:hAnsi="Times New Roman" w:eastAsia="宋体" w:cs="宋体"/>
          <w:sz w:val="24"/>
          <w:szCs w:val="24"/>
        </w:rPr>
        <w:t>i</w:t>
      </w:r>
      <w:r>
        <w:rPr>
          <w:rFonts w:hint="eastAsia" w:ascii="Times New Roman" w:hAnsi="Times New Roman" w:eastAsia="宋体" w:cs="宋体"/>
          <w:sz w:val="24"/>
          <w:szCs w:val="24"/>
        </w:rPr>
        <w:t>所生产产品的数量。完全碳排放</w:t>
      </w:r>
      <w:r>
        <w:rPr>
          <w:rFonts w:ascii="Times New Roman" w:hAnsi="Times New Roman" w:eastAsia="宋体" w:cs="宋体"/>
          <w:sz w:val="24"/>
          <w:szCs w:val="24"/>
        </w:rPr>
        <w:t>TC</w:t>
      </w:r>
      <w:r>
        <w:rPr>
          <w:rFonts w:hint="eastAsia" w:ascii="Times New Roman" w:hAnsi="Times New Roman" w:eastAsia="宋体" w:cs="宋体"/>
          <w:sz w:val="24"/>
          <w:szCs w:val="24"/>
        </w:rPr>
        <w:t>和间接碳排放</w:t>
      </w:r>
      <w:r>
        <w:rPr>
          <w:rFonts w:ascii="Times New Roman" w:hAnsi="Times New Roman" w:eastAsia="宋体" w:cs="宋体"/>
          <w:sz w:val="24"/>
          <w:szCs w:val="24"/>
        </w:rPr>
        <w:t>IC</w:t>
      </w:r>
      <w:r>
        <w:rPr>
          <w:rFonts w:hint="eastAsia" w:ascii="Times New Roman" w:hAnsi="Times New Roman" w:eastAsia="宋体" w:cs="宋体"/>
          <w:sz w:val="24"/>
          <w:szCs w:val="24"/>
        </w:rPr>
        <w:t>为：</w:t>
      </w:r>
    </w:p>
    <w:p>
      <w:pPr>
        <w:spacing w:line="360" w:lineRule="auto"/>
        <w:rPr>
          <w:rFonts w:ascii="Times New Roman" w:hAnsi="Times New Roman" w:eastAsia="宋体" w:cs="宋体"/>
          <w:sz w:val="24"/>
          <w:szCs w:val="24"/>
        </w:rPr>
      </w:pPr>
      <w:r>
        <w:rPr>
          <w:rFonts w:ascii="Times New Roman" w:hAnsi="Times New Roman" w:eastAsia="宋体" w:cs="宋体"/>
          <w:sz w:val="24"/>
          <w:szCs w:val="24"/>
        </w:rPr>
        <w:t>TC =DC</w:t>
      </w:r>
      <w:r>
        <w:rPr>
          <w:rFonts w:hint="eastAsia" w:ascii="Times New Roman" w:hAnsi="Times New Roman" w:eastAsia="宋体" w:cs="宋体"/>
          <w:sz w:val="24"/>
          <w:szCs w:val="24"/>
        </w:rPr>
        <w:t>×（</w:t>
      </w:r>
      <w:r>
        <w:rPr>
          <w:rFonts w:ascii="Times New Roman" w:hAnsi="Times New Roman" w:eastAsia="宋体" w:cs="宋体"/>
          <w:sz w:val="24"/>
          <w:szCs w:val="24"/>
        </w:rPr>
        <w:t>I-A</w:t>
      </w:r>
      <w:r>
        <w:rPr>
          <w:rFonts w:hint="eastAsia" w:ascii="Times New Roman" w:hAnsi="Times New Roman" w:eastAsia="宋体" w:cs="宋体"/>
          <w:sz w:val="24"/>
          <w:szCs w:val="24"/>
        </w:rPr>
        <w:t>）</w:t>
      </w:r>
      <w:r>
        <w:rPr>
          <w:rFonts w:ascii="Times New Roman" w:hAnsi="Times New Roman" w:eastAsia="宋体" w:cs="宋体"/>
          <w:sz w:val="24"/>
          <w:szCs w:val="24"/>
        </w:rPr>
        <w:t>-1, IC= TC</w:t>
      </w:r>
      <w:r>
        <w:rPr>
          <w:rFonts w:hint="eastAsia" w:ascii="Times New Roman" w:hAnsi="Times New Roman" w:eastAsia="宋体" w:cs="宋体"/>
          <w:sz w:val="24"/>
          <w:szCs w:val="24"/>
        </w:rPr>
        <w:t>–</w:t>
      </w:r>
      <w:r>
        <w:rPr>
          <w:rFonts w:ascii="Times New Roman" w:hAnsi="Times New Roman" w:eastAsia="宋体" w:cs="宋体"/>
          <w:sz w:val="24"/>
          <w:szCs w:val="24"/>
        </w:rPr>
        <w:t>DC</w:t>
      </w:r>
    </w:p>
    <w:p>
      <w:pPr>
        <w:spacing w:line="360" w:lineRule="auto"/>
        <w:ind w:firstLine="420"/>
        <w:rPr>
          <w:rFonts w:ascii="Times New Roman" w:hAnsi="Times New Roman" w:eastAsia="宋体" w:cs="宋体"/>
          <w:sz w:val="24"/>
          <w:szCs w:val="24"/>
        </w:rPr>
      </w:pPr>
      <w:r>
        <w:rPr>
          <w:rFonts w:ascii="Times New Roman" w:hAnsi="Times New Roman" w:eastAsia="宋体" w:cs="宋体"/>
          <w:sz w:val="24"/>
          <w:szCs w:val="24"/>
        </w:rPr>
        <w:t>Ŷ</w:t>
      </w:r>
      <w:r>
        <w:rPr>
          <w:rFonts w:hint="eastAsia" w:ascii="Times New Roman" w:hAnsi="Times New Roman" w:eastAsia="宋体" w:cs="宋体"/>
          <w:sz w:val="24"/>
          <w:szCs w:val="24"/>
        </w:rPr>
        <w:t>是最终产出对角矩阵，得到直接碳排放强度</w:t>
      </w:r>
      <w:r>
        <w:rPr>
          <w:rFonts w:ascii="Times New Roman" w:hAnsi="Times New Roman" w:eastAsia="宋体" w:cs="宋体"/>
          <w:sz w:val="24"/>
          <w:szCs w:val="24"/>
        </w:rPr>
        <w:t>DCI</w:t>
      </w:r>
      <w:r>
        <w:rPr>
          <w:rFonts w:hint="eastAsia" w:ascii="Times New Roman" w:hAnsi="Times New Roman" w:eastAsia="宋体" w:cs="宋体"/>
          <w:sz w:val="24"/>
          <w:szCs w:val="24"/>
        </w:rPr>
        <w:t>、完全碳排放强度</w:t>
      </w:r>
      <w:r>
        <w:rPr>
          <w:rFonts w:ascii="Times New Roman" w:hAnsi="Times New Roman" w:eastAsia="宋体" w:cs="宋体"/>
          <w:sz w:val="24"/>
          <w:szCs w:val="24"/>
        </w:rPr>
        <w:t>TCI</w:t>
      </w:r>
      <w:r>
        <w:rPr>
          <w:rFonts w:hint="eastAsia" w:ascii="Times New Roman" w:hAnsi="Times New Roman" w:eastAsia="宋体" w:cs="宋体"/>
          <w:sz w:val="24"/>
          <w:szCs w:val="24"/>
        </w:rPr>
        <w:t>和间接碳排放强度</w:t>
      </w:r>
      <w:r>
        <w:rPr>
          <w:rFonts w:ascii="Times New Roman" w:hAnsi="Times New Roman" w:eastAsia="宋体" w:cs="宋体"/>
          <w:sz w:val="24"/>
          <w:szCs w:val="24"/>
        </w:rPr>
        <w:t>ICI</w:t>
      </w:r>
      <w:r>
        <w:rPr>
          <w:rFonts w:hint="eastAsia" w:ascii="Times New Roman" w:hAnsi="Times New Roman" w:eastAsia="宋体" w:cs="宋体"/>
          <w:sz w:val="24"/>
          <w:szCs w:val="24"/>
        </w:rPr>
        <w:t>为：</w:t>
      </w:r>
    </w:p>
    <w:p>
      <w:pPr>
        <w:spacing w:line="360" w:lineRule="auto"/>
        <w:rPr>
          <w:rFonts w:ascii="Times New Roman" w:hAnsi="Times New Roman" w:eastAsia="宋体" w:cs="宋体"/>
          <w:sz w:val="24"/>
          <w:szCs w:val="24"/>
        </w:rPr>
      </w:pPr>
      <w:r>
        <w:rPr>
          <w:rFonts w:ascii="Times New Roman" w:hAnsi="Times New Roman" w:eastAsia="宋体" w:cs="宋体"/>
          <w:sz w:val="24"/>
          <w:szCs w:val="24"/>
        </w:rPr>
        <w:t>DCI=DC</w:t>
      </w:r>
      <w:r>
        <w:rPr>
          <w:rFonts w:hint="eastAsia" w:ascii="Times New Roman" w:hAnsi="Times New Roman" w:eastAsia="宋体" w:cs="宋体"/>
          <w:sz w:val="24"/>
          <w:szCs w:val="24"/>
        </w:rPr>
        <w:t>×</w:t>
      </w:r>
      <w:r>
        <w:rPr>
          <w:rFonts w:ascii="Times New Roman" w:hAnsi="Times New Roman" w:eastAsia="宋体" w:cs="宋体"/>
          <w:sz w:val="24"/>
          <w:szCs w:val="24"/>
        </w:rPr>
        <w:t>Ŷ-1, TCI=TC</w:t>
      </w:r>
      <w:r>
        <w:rPr>
          <w:rFonts w:hint="eastAsia" w:ascii="Times New Roman" w:hAnsi="Times New Roman" w:eastAsia="宋体" w:cs="宋体"/>
          <w:sz w:val="24"/>
          <w:szCs w:val="24"/>
        </w:rPr>
        <w:t>×</w:t>
      </w:r>
      <w:r>
        <w:rPr>
          <w:rFonts w:ascii="Times New Roman" w:hAnsi="Times New Roman" w:eastAsia="宋体" w:cs="宋体"/>
          <w:sz w:val="24"/>
          <w:szCs w:val="24"/>
        </w:rPr>
        <w:t>Ŷ-1, ICI=IC</w:t>
      </w:r>
      <w:r>
        <w:rPr>
          <w:rFonts w:hint="eastAsia" w:ascii="Times New Roman" w:hAnsi="Times New Roman" w:eastAsia="宋体" w:cs="宋体"/>
          <w:sz w:val="24"/>
          <w:szCs w:val="24"/>
        </w:rPr>
        <w:t>×</w:t>
      </w:r>
      <w:r>
        <w:rPr>
          <w:rFonts w:ascii="Times New Roman" w:hAnsi="Times New Roman" w:eastAsia="宋体" w:cs="宋体"/>
          <w:sz w:val="24"/>
          <w:szCs w:val="24"/>
        </w:rPr>
        <w:t>Ŷ-1</w:t>
      </w:r>
    </w:p>
    <w:p>
      <w:pPr>
        <w:spacing w:line="360" w:lineRule="auto"/>
        <w:ind w:firstLine="420"/>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rPr>
        <w:t>假设条件</w:t>
      </w:r>
    </w:p>
    <w:p>
      <w:pPr>
        <w:spacing w:line="360" w:lineRule="auto"/>
        <w:ind w:firstLine="420"/>
        <w:rPr>
          <w:rFonts w:ascii="Times New Roman" w:hAnsi="Times New Roman" w:eastAsia="宋体" w:cs="宋体"/>
          <w:sz w:val="24"/>
          <w:szCs w:val="24"/>
        </w:rPr>
      </w:pPr>
      <w:r>
        <w:rPr>
          <w:rFonts w:hint="eastAsia" w:ascii="Times New Roman" w:hAnsi="Times New Roman" w:eastAsia="宋体" w:cs="宋体"/>
          <w:sz w:val="24"/>
          <w:szCs w:val="24"/>
        </w:rPr>
        <w:t>（</w:t>
      </w:r>
      <w:r>
        <w:rPr>
          <w:rFonts w:ascii="Times New Roman" w:hAnsi="Times New Roman" w:eastAsia="宋体" w:cs="宋体"/>
          <w:sz w:val="24"/>
          <w:szCs w:val="24"/>
        </w:rPr>
        <w:t>1</w:t>
      </w:r>
      <w:r>
        <w:rPr>
          <w:rFonts w:hint="eastAsia" w:ascii="Times New Roman" w:hAnsi="Times New Roman" w:eastAsia="宋体" w:cs="宋体"/>
          <w:sz w:val="24"/>
          <w:szCs w:val="24"/>
        </w:rPr>
        <w:t>）假设本行投向各行业的贷款与企业消耗的产品等值；</w:t>
      </w:r>
    </w:p>
    <w:p>
      <w:pPr>
        <w:spacing w:line="360" w:lineRule="auto"/>
        <w:ind w:firstLine="420"/>
        <w:rPr>
          <w:rFonts w:ascii="Times New Roman" w:hAnsi="Times New Roman" w:eastAsia="宋体" w:cs="宋体"/>
          <w:sz w:val="24"/>
          <w:szCs w:val="24"/>
        </w:rPr>
        <w:sectPr>
          <w:pgSz w:w="11906" w:h="16838"/>
          <w:pgMar w:top="1440" w:right="1800" w:bottom="1440" w:left="1800" w:header="1020"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sz w:val="24"/>
          <w:szCs w:val="24"/>
        </w:rPr>
        <w:t>（</w:t>
      </w:r>
      <w:r>
        <w:rPr>
          <w:rFonts w:ascii="Times New Roman" w:hAnsi="Times New Roman" w:eastAsia="宋体" w:cs="宋体"/>
          <w:sz w:val="24"/>
          <w:szCs w:val="24"/>
        </w:rPr>
        <w:t>2</w:t>
      </w:r>
      <w:r>
        <w:rPr>
          <w:rFonts w:hint="eastAsia" w:ascii="Times New Roman" w:hAnsi="Times New Roman" w:eastAsia="宋体" w:cs="宋体"/>
          <w:sz w:val="24"/>
          <w:szCs w:val="24"/>
        </w:rPr>
        <w:t>）假设近年各行业的完全碳排放强度基本稳定。</w:t>
      </w:r>
    </w:p>
    <w:p>
      <w:pPr>
        <w:pStyle w:val="2"/>
        <w:widowControl/>
        <w:spacing w:line="360" w:lineRule="auto"/>
        <w:rPr>
          <w:rFonts w:hint="default" w:ascii="Times New Roman" w:hAnsi="Times New Roman"/>
          <w:color w:val="2E75B6" w:themeColor="accent5" w:themeShade="BF"/>
        </w:rPr>
      </w:pPr>
    </w:p>
    <w:p>
      <w:pPr>
        <w:pStyle w:val="6"/>
        <w:spacing w:line="360" w:lineRule="auto"/>
        <w:jc w:val="both"/>
        <w:rPr>
          <w:bCs w:val="0"/>
          <w:color w:val="2E75B6" w:themeColor="accent5" w:themeShade="BF"/>
        </w:rPr>
      </w:pPr>
      <w:bookmarkStart w:id="315" w:name="_Toc16381"/>
      <w:bookmarkStart w:id="316" w:name="_Toc630"/>
      <w:bookmarkStart w:id="317" w:name="_Toc3240"/>
      <w:bookmarkStart w:id="318" w:name="_Toc18512"/>
      <w:bookmarkStart w:id="319" w:name="_Toc2234"/>
      <w:bookmarkStart w:id="320" w:name="_Toc18049"/>
      <w:r>
        <w:rPr>
          <w:rFonts w:hint="eastAsia"/>
          <w:bCs w:val="0"/>
          <w:color w:val="2E75B6" w:themeColor="accent5" w:themeShade="BF"/>
        </w:rPr>
        <w:t>附录2.</w:t>
      </w:r>
      <w:r>
        <w:rPr>
          <w:bCs w:val="0"/>
          <w:color w:val="2E75B6" w:themeColor="accent5" w:themeShade="BF"/>
        </w:rPr>
        <w:t>2</w:t>
      </w:r>
      <w:r>
        <w:rPr>
          <w:rFonts w:hint="eastAsia"/>
          <w:bCs w:val="0"/>
          <w:color w:val="2E75B6" w:themeColor="accent5" w:themeShade="BF"/>
        </w:rPr>
        <w:t>经营活动环境影响的量化测算</w:t>
      </w:r>
      <w:bookmarkEnd w:id="315"/>
      <w:bookmarkEnd w:id="316"/>
      <w:bookmarkEnd w:id="317"/>
      <w:bookmarkEnd w:id="318"/>
      <w:bookmarkEnd w:id="319"/>
      <w:bookmarkEnd w:id="320"/>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本行依据中国人民银行2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年7月发布的《金融机构碳核算技术指南（试行）》要求，按照所采用的《工业企业温室气体排放核算和报告通则》算法，基于各能源消费品种的二氧化碳排放系数对温室气体排放量进行测算。</w:t>
      </w:r>
    </w:p>
    <w:tbl>
      <w:tblPr>
        <w:tblStyle w:val="46"/>
        <w:tblpPr w:leftFromText="180" w:rightFromText="180" w:vertAnchor="text" w:horzAnchor="page" w:tblpX="1786" w:tblpY="298"/>
        <w:tblOverlap w:val="never"/>
        <w:tblW w:w="0" w:type="auto"/>
        <w:tblInd w:w="0" w:type="dxa"/>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Layout w:type="autofit"/>
        <w:tblCellMar>
          <w:top w:w="0" w:type="dxa"/>
          <w:left w:w="108" w:type="dxa"/>
          <w:bottom w:w="0" w:type="dxa"/>
          <w:right w:w="108" w:type="dxa"/>
        </w:tblCellMar>
      </w:tblPr>
      <w:tblGrid>
        <w:gridCol w:w="8296"/>
      </w:tblGrid>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c>
          <w:tcPr>
            <w:tcW w:w="8296" w:type="dxa"/>
            <w:tcBorders>
              <w:tl2br w:val="nil"/>
              <w:tr2bl w:val="nil"/>
            </w:tcBorders>
            <w:shd w:val="clear" w:color="auto" w:fill="2E75B5" w:themeFill="accent5" w:themeFillShade="BF"/>
          </w:tcPr>
          <w:p>
            <w:pPr>
              <w:kinsoku w:val="0"/>
              <w:overflowPunct w:val="0"/>
              <w:autoSpaceDE w:val="0"/>
              <w:autoSpaceDN w:val="0"/>
              <w:adjustRightInd w:val="0"/>
              <w:spacing w:line="360" w:lineRule="auto"/>
              <w:ind w:right="346"/>
              <w:jc w:val="center"/>
              <w:rPr>
                <w:rFonts w:ascii="Times New Roman" w:hAnsi="Times New Roman" w:eastAsia="宋体" w:cs="Times New Roman"/>
                <w:b/>
                <w:bCs/>
                <w:color w:val="000000" w:themeColor="text1"/>
                <w:kern w:val="0"/>
                <w:sz w:val="24"/>
                <w:szCs w:val="21"/>
                <w14:textFill>
                  <w14:solidFill>
                    <w14:schemeClr w14:val="tx1"/>
                  </w14:solidFill>
                </w14:textFill>
              </w:rPr>
            </w:pPr>
            <w:r>
              <w:rPr>
                <w:rFonts w:hint="eastAsia" w:ascii="Times New Roman" w:hAnsi="Times New Roman" w:eastAsia="宋体" w:cs="Times New Roman"/>
                <w:b/>
                <w:bCs/>
                <w:color w:val="FFFFFF" w:themeColor="background1"/>
                <w:kern w:val="0"/>
                <w:sz w:val="24"/>
                <w:szCs w:val="21"/>
                <w14:textFill>
                  <w14:solidFill>
                    <w14:schemeClr w14:val="bg1"/>
                  </w14:solidFill>
                </w14:textFill>
              </w:rPr>
              <w:t>直接温室气体排放（范围一）</w:t>
            </w: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rPr>
          <w:trHeight w:val="184" w:hRule="atLeast"/>
        </w:trPr>
        <w:tc>
          <w:tcPr>
            <w:tcW w:w="8296" w:type="dxa"/>
            <w:tcBorders>
              <w:tl2br w:val="nil"/>
              <w:tr2bl w:val="nil"/>
            </w:tcBorders>
            <w:shd w:val="clear" w:color="auto" w:fill="DEEBF6" w:themeFill="accent5" w:themeFillTint="32"/>
          </w:tcPr>
          <w:p>
            <w:pPr>
              <w:pBdr>
                <w:top w:val="none" w:color="auto" w:sz="0" w:space="1"/>
                <w:left w:val="none" w:color="385623" w:sz="0" w:space="4"/>
                <w:bottom w:val="none" w:color="auto" w:sz="0" w:space="1"/>
                <w:right w:val="none" w:color="385623" w:sz="0" w:space="4"/>
              </w:pBdr>
              <w:spacing w:line="360" w:lineRule="auto"/>
              <w:ind w:firstLine="480" w:firstLineChars="200"/>
              <w:rPr>
                <w:rFonts w:ascii="Times New Roman" w:hAnsi="Times New Roman" w:eastAsia="楷体" w:cs="Times New Roman"/>
                <w:kern w:val="0"/>
                <w:sz w:val="24"/>
                <w:szCs w:val="24"/>
              </w:rPr>
            </w:pPr>
            <m:oMathPara>
              <m:oMath>
                <m:sSub>
                  <m:sSubPr>
                    <m:ctrlPr>
                      <w:rPr>
                        <w:rFonts w:hint="eastAsia" w:ascii="Cambria Math" w:hAnsi="Cambria Math" w:eastAsia="宋体" w:cs="Times New Roman"/>
                        <w:sz w:val="24"/>
                        <w:szCs w:val="24"/>
                      </w:rPr>
                    </m:ctrlPr>
                  </m:sSubPr>
                  <m:e>
                    <m:r>
                      <m:rPr>
                        <m:sty m:val="p"/>
                      </m:rPr>
                      <w:rPr>
                        <w:rFonts w:hint="eastAsia" w:ascii="Cambria Math" w:hAnsi="Cambria Math" w:eastAsia="宋体" w:cs="Times New Roman"/>
                        <w:sz w:val="24"/>
                        <w:szCs w:val="24"/>
                      </w:rPr>
                      <m:t>E</m:t>
                    </m:r>
                    <m:ctrlPr>
                      <w:rPr>
                        <w:rFonts w:hint="eastAsia" w:ascii="Cambria Math" w:hAnsi="Cambria Math" w:eastAsia="宋体" w:cs="Times New Roman"/>
                        <w:sz w:val="24"/>
                        <w:szCs w:val="24"/>
                      </w:rPr>
                    </m:ctrlPr>
                  </m:e>
                  <m:sub>
                    <m:r>
                      <m:rPr>
                        <m:sty m:val="p"/>
                      </m:rPr>
                      <w:rPr>
                        <w:rFonts w:hint="eastAsia" w:ascii="Cambria Math" w:hAnsi="Cambria Math" w:eastAsia="宋体" w:cs="Times New Roman"/>
                        <w:sz w:val="24"/>
                        <w:szCs w:val="24"/>
                      </w:rPr>
                      <m:t>燃烧</m:t>
                    </m:r>
                    <m:ctrlPr>
                      <w:rPr>
                        <w:rFonts w:hint="eastAsia" w:ascii="Cambria Math" w:hAnsi="Cambria Math" w:eastAsia="宋体" w:cs="Times New Roman"/>
                        <w:sz w:val="24"/>
                        <w:szCs w:val="24"/>
                      </w:rPr>
                    </m:ctrlPr>
                  </m:sub>
                </m:sSub>
                <m:r>
                  <m:rPr>
                    <m:sty m:val="p"/>
                  </m:rPr>
                  <w:rPr>
                    <w:rFonts w:hint="eastAsia" w:ascii="Cambria Math" w:hAnsi="Cambria Math" w:eastAsia="宋体" w:cs="Times New Roman"/>
                    <w:sz w:val="24"/>
                    <w:szCs w:val="24"/>
                  </w:rPr>
                  <m:t>=</m:t>
                </m:r>
                <m:nary>
                  <m:naryPr>
                    <m:chr m:val="∑"/>
                    <m:limLoc m:val="subSup"/>
                    <m:ctrlPr>
                      <w:rPr>
                        <w:rFonts w:hint="eastAsia" w:ascii="Cambria Math" w:hAnsi="Cambria Math" w:eastAsia="宋体" w:cs="Times New Roman"/>
                        <w:sz w:val="24"/>
                        <w:szCs w:val="24"/>
                      </w:rPr>
                    </m:ctrlPr>
                  </m:naryPr>
                  <m:sub>
                    <m:r>
                      <m:rPr>
                        <m:sty m:val="p"/>
                      </m:rPr>
                      <w:rPr>
                        <w:rFonts w:hint="eastAsia" w:ascii="Cambria Math" w:hAnsi="Cambria Math" w:eastAsia="宋体" w:cs="Times New Roman"/>
                        <w:sz w:val="24"/>
                        <w:szCs w:val="24"/>
                      </w:rPr>
                      <m:t>i</m:t>
                    </m:r>
                    <m:r>
                      <m:rPr>
                        <m:sty m:val="p"/>
                      </m:rPr>
                      <w:rPr>
                        <w:rFonts w:ascii="Cambria Math" w:hAnsi="Cambria Math" w:eastAsia="微软雅黑" w:cs="微软雅黑"/>
                        <w:sz w:val="24"/>
                        <w:szCs w:val="24"/>
                      </w:rPr>
                      <m:t>−</m:t>
                    </m:r>
                    <m:r>
                      <m:rPr>
                        <m:sty m:val="p"/>
                      </m:rPr>
                      <w:rPr>
                        <w:rFonts w:hint="eastAsia" w:ascii="Cambria Math" w:hAnsi="Cambria Math" w:eastAsia="宋体" w:cs="Times New Roman"/>
                        <w:sz w:val="24"/>
                        <w:szCs w:val="24"/>
                      </w:rPr>
                      <m:t>1</m:t>
                    </m:r>
                    <m:ctrlPr>
                      <w:rPr>
                        <w:rFonts w:hint="eastAsia" w:ascii="Cambria Math" w:hAnsi="Cambria Math" w:eastAsia="宋体" w:cs="Times New Roman"/>
                        <w:sz w:val="24"/>
                        <w:szCs w:val="24"/>
                      </w:rPr>
                    </m:ctrlPr>
                  </m:sub>
                  <m:sup>
                    <m:r>
                      <m:rPr>
                        <m:sty m:val="p"/>
                      </m:rPr>
                      <w:rPr>
                        <w:rFonts w:hint="eastAsia" w:ascii="Cambria Math" w:hAnsi="Cambria Math" w:eastAsia="宋体" w:cs="Times New Roman"/>
                        <w:sz w:val="24"/>
                        <w:szCs w:val="24"/>
                      </w:rPr>
                      <m:t>n</m:t>
                    </m:r>
                    <m:ctrlPr>
                      <w:rPr>
                        <w:rFonts w:hint="eastAsia" w:ascii="Cambria Math" w:hAnsi="Cambria Math" w:eastAsia="宋体" w:cs="Times New Roman"/>
                        <w:sz w:val="24"/>
                        <w:szCs w:val="24"/>
                      </w:rPr>
                    </m:ctrlPr>
                  </m:sup>
                  <m:e>
                    <m:r>
                      <m:rPr>
                        <m:sty m:val="p"/>
                      </m:rPr>
                      <w:rPr>
                        <w:rFonts w:hint="eastAsia" w:ascii="Cambria Math" w:hAnsi="Cambria Math" w:eastAsia="宋体" w:cs="Times New Roman"/>
                        <w:sz w:val="24"/>
                        <w:szCs w:val="24"/>
                      </w:rPr>
                      <m:t>(</m:t>
                    </m:r>
                    <m:sSub>
                      <m:sSubPr>
                        <m:ctrlPr>
                          <w:rPr>
                            <w:rFonts w:hint="eastAsia" w:ascii="Cambria Math" w:hAnsi="Cambria Math" w:eastAsia="宋体" w:cs="Times New Roman"/>
                            <w:sz w:val="24"/>
                            <w:szCs w:val="24"/>
                          </w:rPr>
                        </m:ctrlPr>
                      </m:sSubPr>
                      <m:e>
                        <m:r>
                          <m:rPr>
                            <m:sty m:val="p"/>
                          </m:rPr>
                          <w:rPr>
                            <w:rFonts w:hint="eastAsia" w:ascii="Cambria Math" w:hAnsi="Cambria Math" w:eastAsia="宋体" w:cs="Times New Roman"/>
                            <w:sz w:val="24"/>
                            <w:szCs w:val="24"/>
                          </w:rPr>
                          <m:t>AD</m:t>
                        </m:r>
                        <m:ctrlPr>
                          <w:rPr>
                            <w:rFonts w:hint="eastAsia" w:ascii="Cambria Math" w:hAnsi="Cambria Math" w:eastAsia="宋体" w:cs="Times New Roman"/>
                            <w:sz w:val="24"/>
                            <w:szCs w:val="24"/>
                          </w:rPr>
                        </m:ctrlPr>
                      </m:e>
                      <m:sub>
                        <m:r>
                          <m:rPr>
                            <m:sty m:val="p"/>
                          </m:rPr>
                          <w:rPr>
                            <w:rFonts w:hint="eastAsia" w:ascii="Cambria Math" w:hAnsi="Cambria Math" w:eastAsia="宋体" w:cs="Times New Roman"/>
                            <w:sz w:val="24"/>
                            <w:szCs w:val="24"/>
                          </w:rPr>
                          <m:t>i</m:t>
                        </m:r>
                        <m:ctrlPr>
                          <w:rPr>
                            <w:rFonts w:hint="eastAsia" w:ascii="Cambria Math" w:hAnsi="Cambria Math" w:eastAsia="宋体" w:cs="Times New Roman"/>
                            <w:sz w:val="24"/>
                            <w:szCs w:val="24"/>
                          </w:rPr>
                        </m:ctrlPr>
                      </m:sub>
                    </m:sSub>
                    <m:r>
                      <m:rPr>
                        <m:sty m:val="p"/>
                      </m:rPr>
                      <w:rPr>
                        <w:rFonts w:hint="eastAsia" w:ascii="Cambria Math" w:hAnsi="Cambria Math" w:eastAsia="宋体" w:cs="Times New Roman"/>
                        <w:sz w:val="24"/>
                        <w:szCs w:val="24"/>
                      </w:rPr>
                      <m:t>×</m:t>
                    </m:r>
                    <m:sSub>
                      <m:sSubPr>
                        <m:ctrlPr>
                          <w:rPr>
                            <w:rFonts w:hint="eastAsia" w:ascii="Cambria Math" w:hAnsi="Cambria Math" w:eastAsia="宋体" w:cs="Times New Roman"/>
                            <w:sz w:val="24"/>
                            <w:szCs w:val="24"/>
                          </w:rPr>
                        </m:ctrlPr>
                      </m:sSubPr>
                      <m:e>
                        <m:r>
                          <m:rPr>
                            <m:sty m:val="p"/>
                          </m:rPr>
                          <w:rPr>
                            <w:rFonts w:hint="eastAsia" w:ascii="Cambria Math" w:hAnsi="Cambria Math" w:eastAsia="宋体" w:cs="Times New Roman"/>
                            <w:sz w:val="24"/>
                            <w:szCs w:val="24"/>
                          </w:rPr>
                          <m:t>EF</m:t>
                        </m:r>
                        <m:ctrlPr>
                          <w:rPr>
                            <w:rFonts w:hint="eastAsia" w:ascii="Cambria Math" w:hAnsi="Cambria Math" w:eastAsia="宋体" w:cs="Times New Roman"/>
                            <w:sz w:val="24"/>
                            <w:szCs w:val="24"/>
                          </w:rPr>
                        </m:ctrlPr>
                      </m:e>
                      <m:sub>
                        <m:r>
                          <m:rPr>
                            <m:sty m:val="p"/>
                          </m:rPr>
                          <w:rPr>
                            <w:rFonts w:hint="eastAsia" w:ascii="Cambria Math" w:hAnsi="Cambria Math" w:eastAsia="宋体" w:cs="Times New Roman"/>
                            <w:sz w:val="24"/>
                            <w:szCs w:val="24"/>
                          </w:rPr>
                          <m:t>i</m:t>
                        </m:r>
                        <m:ctrlPr>
                          <w:rPr>
                            <w:rFonts w:hint="eastAsia" w:ascii="Cambria Math" w:hAnsi="Cambria Math" w:eastAsia="宋体" w:cs="Times New Roman"/>
                            <w:sz w:val="24"/>
                            <w:szCs w:val="24"/>
                          </w:rPr>
                        </m:ctrlPr>
                      </m:sub>
                    </m:sSub>
                    <m:r>
                      <m:rPr>
                        <m:sty m:val="p"/>
                      </m:rPr>
                      <w:rPr>
                        <w:rFonts w:hint="eastAsia" w:ascii="Cambria Math" w:hAnsi="Cambria Math" w:eastAsia="宋体" w:cs="Times New Roman"/>
                        <w:sz w:val="24"/>
                        <w:szCs w:val="24"/>
                      </w:rPr>
                      <m:t>)</m:t>
                    </m:r>
                    <m:ctrlPr>
                      <w:rPr>
                        <w:rFonts w:hint="eastAsia" w:ascii="Cambria Math" w:hAnsi="Cambria Math" w:eastAsia="宋体" w:cs="Times New Roman"/>
                        <w:sz w:val="24"/>
                        <w:szCs w:val="24"/>
                      </w:rPr>
                    </m:ctrlPr>
                  </m:e>
                </m:nary>
              </m:oMath>
            </m:oMathPara>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式中：</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E</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燃烧</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—核算期内消耗的化石燃料燃烧产生的二氧化碳排放，单位为吨二氧化碳（tCO2）；</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AD</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—核算期内消耗的第i种燃料的活动数据，单位为吉焦（GJ）；</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EF</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—第i种燃料的二氧化碳排放因子，单位为吨二氧化碳每吉焦（tCO2/GJ）；</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i—化石燃料类型代号；</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其中，核算期内燃料燃烧的活动数据是各种燃料的消耗量与平均低位发热量的乘积，按下式计算：</w:t>
            </w:r>
          </w:p>
          <w:p>
            <w:pPr>
              <w:spacing w:line="360" w:lineRule="auto"/>
              <w:rPr>
                <w:rFonts w:ascii="Times New Roman" w:hAnsi="Times New Roman" w:eastAsia="宋体" w:cs="Times New Roman"/>
                <w:szCs w:val="21"/>
              </w:rPr>
            </w:pPr>
            <m:oMathPara>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AD</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r>
                  <m:rPr>
                    <m:sty m:val="p"/>
                  </m:rPr>
                  <w:rPr>
                    <w:rFonts w:hint="eastAsia" w:ascii="Cambria Math" w:hAnsi="Cambria Math" w:eastAsia="宋体" w:cs="Times New Roman"/>
                    <w:szCs w:val="21"/>
                  </w:rPr>
                  <m:t>=</m:t>
                </m:r>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NCV</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r>
                  <m:rPr>
                    <m:sty m:val="p"/>
                  </m:rPr>
                  <w:rPr>
                    <w:rFonts w:hint="eastAsia" w:ascii="Cambria Math" w:hAnsi="Cambria Math" w:eastAsia="宋体" w:cs="Times New Roman"/>
                    <w:szCs w:val="21"/>
                  </w:rPr>
                  <m:t>×</m:t>
                </m:r>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FC</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m:oMathPara>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式中：</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AD</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—核算期内消耗的第i种化石燃料的活动数据，单位为吉焦（GJ）</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NCV</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—核算期内第i种化石燃料的平均低位发热量。对固体或液体燃料，单位为吉焦每吨（GJ/t）；对气体燃料，单位为吉焦每万标立方米（GJ/104Nm3）；</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FC</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—核算期内第i种化石燃料的净消耗量。对固体或液体燃料，单位为吨（t）；对气体燃料，单位为万标立方米（104Nm3）。</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而燃料燃烧的二氧化碳排放因子按式下式计算：</w:t>
            </w:r>
          </w:p>
          <w:p>
            <w:pPr>
              <w:spacing w:line="360" w:lineRule="auto"/>
              <w:rPr>
                <w:rFonts w:ascii="Times New Roman" w:hAnsi="Times New Roman" w:eastAsia="宋体" w:cs="Times New Roman"/>
                <w:szCs w:val="21"/>
              </w:rPr>
            </w:pPr>
            <m:oMathPara>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EF</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r>
                  <m:rPr>
                    <m:sty m:val="p"/>
                  </m:rPr>
                  <w:rPr>
                    <w:rFonts w:hint="eastAsia" w:ascii="Cambria Math" w:hAnsi="Cambria Math" w:eastAsia="宋体" w:cs="Times New Roman"/>
                    <w:szCs w:val="21"/>
                  </w:rPr>
                  <m:t>=</m:t>
                </m:r>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CC</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r>
                  <m:rPr>
                    <m:sty m:val="p"/>
                  </m:rPr>
                  <w:rPr>
                    <w:rFonts w:hint="eastAsia" w:ascii="Cambria Math" w:hAnsi="Cambria Math" w:eastAsia="宋体" w:cs="Times New Roman"/>
                    <w:szCs w:val="21"/>
                  </w:rPr>
                  <m:t>×</m:t>
                </m:r>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OF</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r>
                  <m:rPr>
                    <m:sty m:val="p"/>
                  </m:rPr>
                  <w:rPr>
                    <w:rFonts w:hint="eastAsia" w:ascii="Cambria Math" w:hAnsi="Cambria Math" w:eastAsia="宋体" w:cs="Times New Roman"/>
                    <w:szCs w:val="21"/>
                  </w:rPr>
                  <m:t>×</m:t>
                </m:r>
                <m:f>
                  <m:fPr>
                    <m:ctrlPr>
                      <w:rPr>
                        <w:rFonts w:hint="eastAsia" w:ascii="Cambria Math" w:hAnsi="Cambria Math" w:eastAsia="宋体" w:cs="Times New Roman"/>
                        <w:szCs w:val="21"/>
                      </w:rPr>
                    </m:ctrlPr>
                  </m:fPr>
                  <m:num>
                    <m:r>
                      <m:rPr>
                        <m:sty m:val="p"/>
                      </m:rPr>
                      <w:rPr>
                        <w:rFonts w:hint="eastAsia" w:ascii="Cambria Math" w:hAnsi="Cambria Math" w:eastAsia="宋体" w:cs="Times New Roman"/>
                        <w:szCs w:val="21"/>
                      </w:rPr>
                      <m:t>44</m:t>
                    </m:r>
                    <m:ctrlPr>
                      <w:rPr>
                        <w:rFonts w:hint="eastAsia" w:ascii="Cambria Math" w:hAnsi="Cambria Math" w:eastAsia="宋体" w:cs="Times New Roman"/>
                        <w:szCs w:val="21"/>
                      </w:rPr>
                    </m:ctrlPr>
                  </m:num>
                  <m:den>
                    <m:r>
                      <m:rPr>
                        <m:sty m:val="p"/>
                      </m:rPr>
                      <w:rPr>
                        <w:rFonts w:hint="eastAsia" w:ascii="Cambria Math" w:hAnsi="Cambria Math" w:eastAsia="宋体" w:cs="Times New Roman"/>
                        <w:szCs w:val="21"/>
                      </w:rPr>
                      <m:t>12</m:t>
                    </m:r>
                    <m:ctrlPr>
                      <w:rPr>
                        <w:rFonts w:hint="eastAsia" w:ascii="Cambria Math" w:hAnsi="Cambria Math" w:eastAsia="宋体" w:cs="Times New Roman"/>
                        <w:szCs w:val="21"/>
                      </w:rPr>
                    </m:ctrlPr>
                  </m:den>
                </m:f>
              </m:oMath>
            </m:oMathPara>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式中：</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EF</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—第i种燃料的二氧化碳排放因子，单位为吨二氧化碳每吉焦（tCO2/GJ）；</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CC</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—第i种燃料的单位热值含碳量，单位为吨碳每吉焦（tC/GJ）；</w:t>
            </w:r>
          </w:p>
          <w:p>
            <w:pPr>
              <w:spacing w:line="360" w:lineRule="auto"/>
              <w:rPr>
                <w:rFonts w:ascii="Times New Roman" w:hAnsi="Times New Roman" w:eastAsia="宋体" w:cs="Times New Roman"/>
                <w:szCs w:val="21"/>
              </w:rPr>
            </w:pPr>
            <m:oMath>
              <m:sSub>
                <m:sSubPr>
                  <m:ctrlPr>
                    <w:rPr>
                      <w:rFonts w:hint="eastAsia" w:ascii="Cambria Math" w:hAnsi="Cambria Math" w:eastAsia="宋体" w:cs="Times New Roman"/>
                      <w:szCs w:val="21"/>
                    </w:rPr>
                  </m:ctrlPr>
                </m:sSubPr>
                <m:e>
                  <m:r>
                    <m:rPr>
                      <m:sty m:val="p"/>
                    </m:rPr>
                    <w:rPr>
                      <w:rFonts w:hint="eastAsia" w:ascii="Cambria Math" w:hAnsi="Cambria Math" w:eastAsia="宋体" w:cs="Times New Roman"/>
                      <w:szCs w:val="21"/>
                    </w:rPr>
                    <m:t>OF</m:t>
                  </m:r>
                  <m:ctrlPr>
                    <w:rPr>
                      <w:rFonts w:hint="eastAsia" w:ascii="Cambria Math" w:hAnsi="Cambria Math" w:eastAsia="宋体" w:cs="Times New Roman"/>
                      <w:szCs w:val="21"/>
                    </w:rPr>
                  </m:ctrlPr>
                </m:e>
                <m:sub>
                  <m:r>
                    <m:rPr>
                      <m:sty m:val="p"/>
                    </m:rPr>
                    <w:rPr>
                      <w:rFonts w:hint="eastAsia" w:ascii="Cambria Math" w:hAnsi="Cambria Math" w:eastAsia="宋体" w:cs="Times New Roman"/>
                      <w:szCs w:val="21"/>
                    </w:rPr>
                    <m:t>i</m:t>
                  </m:r>
                  <m:ctrlPr>
                    <w:rPr>
                      <w:rFonts w:hint="eastAsia" w:ascii="Cambria Math" w:hAnsi="Cambria Math" w:eastAsia="宋体" w:cs="Times New Roman"/>
                      <w:szCs w:val="21"/>
                    </w:rPr>
                  </m:ctrlPr>
                </m:sub>
              </m:sSub>
            </m:oMath>
            <w:r>
              <w:rPr>
                <w:rFonts w:hint="eastAsia" w:ascii="Times New Roman" w:hAnsi="Times New Roman" w:eastAsia="宋体" w:cs="Times New Roman"/>
                <w:szCs w:val="21"/>
              </w:rPr>
              <w:t>—第i种燃料的碳氧化率。</w:t>
            </w:r>
          </w:p>
          <w:p>
            <w:pPr>
              <w:spacing w:line="360" w:lineRule="auto"/>
              <w:rPr>
                <w:rFonts w:ascii="Times New Roman" w:hAnsi="Times New Roman" w:eastAsia="楷体" w:cs="Times New Roman"/>
                <w:kern w:val="0"/>
                <w:sz w:val="20"/>
                <w:szCs w:val="21"/>
              </w:rPr>
            </w:pPr>
            <m:oMath>
              <m:f>
                <m:fPr>
                  <m:ctrlPr>
                    <w:rPr>
                      <w:rFonts w:hint="eastAsia" w:ascii="Cambria Math" w:hAnsi="Cambria Math" w:eastAsia="宋体" w:cs="Times New Roman"/>
                      <w:szCs w:val="21"/>
                    </w:rPr>
                  </m:ctrlPr>
                </m:fPr>
                <m:num>
                  <m:r>
                    <m:rPr>
                      <m:sty m:val="p"/>
                    </m:rPr>
                    <w:rPr>
                      <w:rFonts w:hint="eastAsia" w:ascii="Cambria Math" w:hAnsi="Cambria Math" w:eastAsia="宋体" w:cs="Times New Roman"/>
                      <w:szCs w:val="21"/>
                    </w:rPr>
                    <m:t>44</m:t>
                  </m:r>
                  <m:ctrlPr>
                    <w:rPr>
                      <w:rFonts w:hint="eastAsia" w:ascii="Cambria Math" w:hAnsi="Cambria Math" w:eastAsia="宋体" w:cs="Times New Roman"/>
                      <w:szCs w:val="21"/>
                    </w:rPr>
                  </m:ctrlPr>
                </m:num>
                <m:den>
                  <m:r>
                    <m:rPr>
                      <m:sty m:val="p"/>
                    </m:rPr>
                    <w:rPr>
                      <w:rFonts w:hint="eastAsia" w:ascii="Cambria Math" w:hAnsi="Cambria Math" w:eastAsia="宋体" w:cs="Times New Roman"/>
                      <w:szCs w:val="21"/>
                    </w:rPr>
                    <m:t>12</m:t>
                  </m:r>
                  <m:ctrlPr>
                    <w:rPr>
                      <w:rFonts w:hint="eastAsia" w:ascii="Cambria Math" w:hAnsi="Cambria Math" w:eastAsia="宋体" w:cs="Times New Roman"/>
                      <w:szCs w:val="21"/>
                    </w:rPr>
                  </m:ctrlPr>
                </m:den>
              </m:f>
            </m:oMath>
            <w:r>
              <w:rPr>
                <w:rFonts w:hint="eastAsia" w:ascii="Times New Roman" w:hAnsi="Times New Roman" w:eastAsia="宋体" w:cs="Times New Roman"/>
                <w:szCs w:val="21"/>
              </w:rPr>
              <w:t>—二氧化碳与碳的相对分子质量之比。</w:t>
            </w:r>
          </w:p>
        </w:tc>
      </w:tr>
    </w:tbl>
    <w:p>
      <w:pPr>
        <w:pStyle w:val="2"/>
        <w:spacing w:after="0" w:line="360" w:lineRule="auto"/>
        <w:ind w:firstLine="480"/>
        <w:rPr>
          <w:rFonts w:hint="default" w:ascii="Times New Roman" w:hAnsi="Times New Roman" w:eastAsia="宋体"/>
          <w:sz w:val="24"/>
          <w:szCs w:val="24"/>
        </w:rPr>
      </w:pPr>
    </w:p>
    <w:p>
      <w:pPr>
        <w:pStyle w:val="2"/>
        <w:spacing w:after="0" w:line="360" w:lineRule="auto"/>
        <w:ind w:firstLine="480"/>
        <w:rPr>
          <w:rFonts w:hint="default" w:ascii="Times New Roman" w:hAnsi="Times New Roman" w:eastAsia="宋体"/>
          <w:sz w:val="24"/>
          <w:szCs w:val="24"/>
        </w:rPr>
      </w:pPr>
    </w:p>
    <w:tbl>
      <w:tblPr>
        <w:tblStyle w:val="47"/>
        <w:tblW w:w="0" w:type="auto"/>
        <w:tblInd w:w="0" w:type="dxa"/>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Layout w:type="autofit"/>
        <w:tblCellMar>
          <w:top w:w="0" w:type="dxa"/>
          <w:left w:w="108" w:type="dxa"/>
          <w:bottom w:w="0" w:type="dxa"/>
          <w:right w:w="108" w:type="dxa"/>
        </w:tblCellMar>
      </w:tblPr>
      <w:tblGrid>
        <w:gridCol w:w="8296"/>
      </w:tblGrid>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c>
          <w:tcPr>
            <w:tcW w:w="8296" w:type="dxa"/>
            <w:tcBorders>
              <w:tl2br w:val="nil"/>
              <w:tr2bl w:val="nil"/>
            </w:tcBorders>
            <w:shd w:val="clear" w:color="auto" w:fill="2E75B5" w:themeFill="accent5" w:themeFillShade="BF"/>
          </w:tcPr>
          <w:p>
            <w:pPr>
              <w:kinsoku w:val="0"/>
              <w:overflowPunct w:val="0"/>
              <w:autoSpaceDE w:val="0"/>
              <w:autoSpaceDN w:val="0"/>
              <w:adjustRightInd w:val="0"/>
              <w:spacing w:line="360" w:lineRule="auto"/>
              <w:ind w:right="346"/>
              <w:jc w:val="center"/>
              <w:rPr>
                <w:rFonts w:ascii="Times New Roman" w:hAnsi="Times New Roman" w:eastAsia="宋体" w:cs="Times New Roman"/>
                <w:b/>
                <w:bCs/>
                <w:color w:val="FFFFFF" w:themeColor="background1"/>
                <w:kern w:val="0"/>
                <w:sz w:val="24"/>
                <w:szCs w:val="21"/>
                <w14:textFill>
                  <w14:solidFill>
                    <w14:schemeClr w14:val="bg1"/>
                  </w14:solidFill>
                </w14:textFill>
              </w:rPr>
            </w:pPr>
            <w:r>
              <w:rPr>
                <w:rFonts w:hint="eastAsia" w:ascii="Times New Roman" w:hAnsi="Times New Roman" w:eastAsia="宋体" w:cs="Times New Roman"/>
                <w:b/>
                <w:bCs/>
                <w:color w:val="FFFFFF" w:themeColor="background1"/>
                <w:kern w:val="0"/>
                <w:sz w:val="24"/>
                <w:szCs w:val="21"/>
                <w14:textFill>
                  <w14:solidFill>
                    <w14:schemeClr w14:val="bg1"/>
                  </w14:solidFill>
                </w14:textFill>
              </w:rPr>
              <w:t>间接温室气体排放（范围二）</w:t>
            </w: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c>
          <w:tcPr>
            <w:tcW w:w="8296" w:type="dxa"/>
            <w:tcBorders>
              <w:tl2br w:val="nil"/>
              <w:tr2bl w:val="nil"/>
            </w:tcBorders>
            <w:shd w:val="clear" w:color="auto" w:fill="DEEBF6" w:themeFill="accent5" w:themeFillTint="32"/>
          </w:tcPr>
          <w:p>
            <w:pPr>
              <w:spacing w:line="360" w:lineRule="auto"/>
              <w:rPr>
                <w:rFonts w:ascii="Times New Roman" w:hAnsi="Times New Roman" w:eastAsia="宋体" w:cs="Times New Roman"/>
                <w:sz w:val="24"/>
                <w:szCs w:val="24"/>
              </w:rPr>
            </w:pPr>
            <m:oMathPara>
              <m:oMath>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E</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购入电</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AD</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购入电</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EF</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电力</m:t>
                    </m:r>
                    <m:ctrlPr>
                      <w:rPr>
                        <w:rFonts w:ascii="Cambria Math" w:hAnsi="Cambria Math" w:eastAsia="宋体" w:cs="Times New Roman"/>
                        <w:sz w:val="24"/>
                        <w:szCs w:val="24"/>
                      </w:rPr>
                    </m:ctrlPr>
                  </m:sub>
                </m:sSub>
              </m:oMath>
            </m:oMathPara>
          </w:p>
          <w:p>
            <w:pPr>
              <w:spacing w:line="360" w:lineRule="auto"/>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auto"/>
              <w:rPr>
                <w:rFonts w:ascii="Times New Roman" w:hAnsi="Times New Roman" w:eastAsia="宋体" w:cs="Times New Roman"/>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E</m:t>
                  </m:r>
                  <m:ctrlPr>
                    <w:rPr>
                      <w:rFonts w:ascii="Cambria Math" w:hAnsi="Cambria Math" w:eastAsia="宋体" w:cs="Times New Roman"/>
                      <w:szCs w:val="21"/>
                    </w:rPr>
                  </m:ctrlPr>
                </m:e>
                <m:sub>
                  <m:r>
                    <m:rPr>
                      <m:sty m:val="p"/>
                    </m:rPr>
                    <w:rPr>
                      <w:rFonts w:ascii="Cambria Math" w:hAnsi="Cambria Math" w:eastAsia="宋体" w:cs="Times New Roman"/>
                      <w:szCs w:val="21"/>
                    </w:rPr>
                    <m:t>购入电</m:t>
                  </m:r>
                  <m:ctrlPr>
                    <w:rPr>
                      <w:rFonts w:ascii="Cambria Math" w:hAnsi="Cambria Math" w:eastAsia="宋体" w:cs="Times New Roman"/>
                      <w:szCs w:val="21"/>
                    </w:rPr>
                  </m:ctrlPr>
                </m:sub>
              </m:sSub>
            </m:oMath>
            <w:r>
              <w:rPr>
                <w:rFonts w:ascii="Times New Roman" w:hAnsi="Times New Roman" w:eastAsia="宋体" w:cs="Times New Roman"/>
                <w:szCs w:val="21"/>
              </w:rPr>
              <w:t>—购入电力所产生的二氧化碳排放量，单位为吨二氧化碳（tCO2）；</w:t>
            </w:r>
          </w:p>
          <w:p>
            <w:pPr>
              <w:spacing w:line="360" w:lineRule="auto"/>
              <w:rPr>
                <w:rFonts w:ascii="Times New Roman" w:hAnsi="Times New Roman" w:eastAsia="宋体" w:cs="Times New Roman"/>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AD</m:t>
                  </m:r>
                  <m:ctrlPr>
                    <w:rPr>
                      <w:rFonts w:ascii="Cambria Math" w:hAnsi="Cambria Math" w:eastAsia="宋体" w:cs="Times New Roman"/>
                      <w:szCs w:val="21"/>
                    </w:rPr>
                  </m:ctrlPr>
                </m:e>
                <m:sub>
                  <m:r>
                    <m:rPr>
                      <m:sty m:val="p"/>
                    </m:rPr>
                    <w:rPr>
                      <w:rFonts w:ascii="Cambria Math" w:hAnsi="Cambria Math" w:eastAsia="宋体" w:cs="Times New Roman"/>
                      <w:szCs w:val="21"/>
                    </w:rPr>
                    <m:t>购入电</m:t>
                  </m:r>
                  <m:ctrlPr>
                    <w:rPr>
                      <w:rFonts w:ascii="Cambria Math" w:hAnsi="Cambria Math" w:eastAsia="宋体" w:cs="Times New Roman"/>
                      <w:szCs w:val="21"/>
                    </w:rPr>
                  </m:ctrlPr>
                </m:sub>
              </m:sSub>
            </m:oMath>
            <w:r>
              <w:rPr>
                <w:rFonts w:ascii="Times New Roman" w:hAnsi="Times New Roman" w:eastAsia="宋体" w:cs="Times New Roman"/>
                <w:szCs w:val="21"/>
              </w:rPr>
              <w:t>—核算期内购入的电量，单位为兆瓦时（MWh）；</w:t>
            </w:r>
          </w:p>
          <w:p>
            <w:pPr>
              <w:spacing w:line="360" w:lineRule="auto"/>
              <w:rPr>
                <w:rFonts w:ascii="Times New Roman" w:hAnsi="Times New Roman" w:eastAsia="楷体" w:cs="Times New Roman"/>
                <w:color w:val="FF0000"/>
                <w:kern w:val="0"/>
                <w:sz w:val="20"/>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EF</m:t>
                  </m:r>
                  <m:ctrlPr>
                    <w:rPr>
                      <w:rFonts w:ascii="Cambria Math" w:hAnsi="Cambria Math" w:eastAsia="宋体" w:cs="Times New Roman"/>
                      <w:szCs w:val="21"/>
                    </w:rPr>
                  </m:ctrlPr>
                </m:e>
                <m:sub>
                  <m:r>
                    <m:rPr>
                      <m:sty m:val="p"/>
                    </m:rPr>
                    <w:rPr>
                      <w:rFonts w:ascii="Cambria Math" w:hAnsi="Cambria Math" w:eastAsia="宋体" w:cs="Times New Roman"/>
                      <w:szCs w:val="21"/>
                    </w:rPr>
                    <m:t>电力</m:t>
                  </m:r>
                  <m:ctrlPr>
                    <w:rPr>
                      <w:rFonts w:ascii="Cambria Math" w:hAnsi="Cambria Math" w:eastAsia="宋体" w:cs="Times New Roman"/>
                      <w:szCs w:val="21"/>
                    </w:rPr>
                  </m:ctrlPr>
                </m:sub>
              </m:sSub>
            </m:oMath>
            <w:r>
              <w:rPr>
                <w:rFonts w:ascii="Times New Roman" w:hAnsi="Times New Roman" w:eastAsia="宋体" w:cs="Times New Roman"/>
                <w:szCs w:val="21"/>
              </w:rPr>
              <w:t>—电力的二氧化碳排放因子，单位为吨二氧化碳每兆瓦时（tCO2/MWh）。</w:t>
            </w:r>
          </w:p>
        </w:tc>
      </w:tr>
    </w:tbl>
    <w:p>
      <w:pPr>
        <w:spacing w:line="360" w:lineRule="auto"/>
        <w:rPr>
          <w:rFonts w:ascii="Times New Roman" w:hAnsi="Times New Roman" w:eastAsia="黑体" w:cs="黑体"/>
          <w:sz w:val="30"/>
          <w:szCs w:val="30"/>
        </w:rPr>
      </w:pPr>
      <w:r>
        <w:rPr>
          <w:rFonts w:ascii="Times New Roman" w:hAnsi="Times New Roman" w:eastAsia="黑体" w:cs="黑体"/>
          <w:color w:val="2F5597" w:themeColor="accent1" w:themeShade="BF"/>
          <w:szCs w:val="21"/>
          <w:u w:val="single"/>
        </w:rPr>
        <w:t xml:space="preserve">  </w:t>
      </w:r>
      <w:r>
        <w:rPr>
          <w:rFonts w:ascii="Times New Roman" w:hAnsi="Times New Roman" w:eastAsia="黑体" w:cs="黑体"/>
          <w:color w:val="4472C4" w:themeColor="accent1"/>
          <w:szCs w:val="21"/>
          <w:u w:val="single"/>
          <w14:textFill>
            <w14:solidFill>
              <w14:schemeClr w14:val="accent1"/>
            </w14:solidFill>
          </w14:textFill>
        </w:rPr>
        <w:t xml:space="preserve">  </w:t>
      </w:r>
    </w:p>
    <w:tbl>
      <w:tblPr>
        <w:tblStyle w:val="47"/>
        <w:tblW w:w="0" w:type="auto"/>
        <w:tblInd w:w="0" w:type="dxa"/>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Layout w:type="autofit"/>
        <w:tblCellMar>
          <w:top w:w="0" w:type="dxa"/>
          <w:left w:w="108" w:type="dxa"/>
          <w:bottom w:w="0" w:type="dxa"/>
          <w:right w:w="108" w:type="dxa"/>
        </w:tblCellMar>
      </w:tblPr>
      <w:tblGrid>
        <w:gridCol w:w="8296"/>
      </w:tblGrid>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c>
          <w:tcPr>
            <w:tcW w:w="8296" w:type="dxa"/>
            <w:tcBorders>
              <w:tl2br w:val="nil"/>
              <w:tr2bl w:val="nil"/>
            </w:tcBorders>
            <w:shd w:val="clear" w:color="auto" w:fill="2E75B5" w:themeFill="accent5" w:themeFillShade="BF"/>
          </w:tcPr>
          <w:p>
            <w:pPr>
              <w:kinsoku w:val="0"/>
              <w:overflowPunct w:val="0"/>
              <w:autoSpaceDE w:val="0"/>
              <w:autoSpaceDN w:val="0"/>
              <w:adjustRightInd w:val="0"/>
              <w:spacing w:line="360" w:lineRule="auto"/>
              <w:ind w:right="346"/>
              <w:jc w:val="center"/>
              <w:rPr>
                <w:rFonts w:ascii="Times New Roman" w:hAnsi="Times New Roman" w:eastAsia="宋体" w:cs="Times New Roman"/>
                <w:b/>
                <w:bCs/>
                <w:color w:val="FFFFFF" w:themeColor="background1"/>
                <w:kern w:val="0"/>
                <w:sz w:val="24"/>
                <w:szCs w:val="21"/>
                <w14:textFill>
                  <w14:solidFill>
                    <w14:schemeClr w14:val="bg1"/>
                  </w14:solidFill>
                </w14:textFill>
              </w:rPr>
            </w:pPr>
            <w:r>
              <w:rPr>
                <w:rFonts w:hint="eastAsia" w:ascii="Times New Roman" w:hAnsi="Times New Roman" w:eastAsia="宋体" w:cs="Times New Roman"/>
                <w:b/>
                <w:bCs/>
                <w:color w:val="FFFFFF" w:themeColor="background1"/>
                <w:kern w:val="0"/>
                <w:sz w:val="24"/>
                <w:szCs w:val="21"/>
                <w14:textFill>
                  <w14:solidFill>
                    <w14:schemeClr w14:val="bg1"/>
                  </w14:solidFill>
                </w14:textFill>
              </w:rPr>
              <w:t>间接温室气体排放（范围</w:t>
            </w:r>
            <w:r>
              <w:rPr>
                <w:rFonts w:hint="eastAsia" w:ascii="Times New Roman" w:hAnsi="Times New Roman" w:eastAsia="宋体" w:cs="Times New Roman"/>
                <w:b/>
                <w:bCs/>
                <w:color w:val="FFFFFF" w:themeColor="background1"/>
                <w:kern w:val="0"/>
                <w:sz w:val="24"/>
                <w:szCs w:val="21"/>
                <w:lang w:val="en-US" w:eastAsia="zh-CN"/>
                <w14:textFill>
                  <w14:solidFill>
                    <w14:schemeClr w14:val="bg1"/>
                  </w14:solidFill>
                </w14:textFill>
              </w:rPr>
              <w:t>三</w:t>
            </w:r>
            <w:r>
              <w:rPr>
                <w:rFonts w:hint="eastAsia" w:ascii="Times New Roman" w:hAnsi="Times New Roman" w:eastAsia="宋体" w:cs="Times New Roman"/>
                <w:b/>
                <w:bCs/>
                <w:color w:val="FFFFFF" w:themeColor="background1"/>
                <w:kern w:val="0"/>
                <w:sz w:val="24"/>
                <w:szCs w:val="21"/>
                <w14:textFill>
                  <w14:solidFill>
                    <w14:schemeClr w14:val="bg1"/>
                  </w14:solidFill>
                </w14:textFill>
              </w:rPr>
              <w:t>）</w:t>
            </w:r>
          </w:p>
        </w:tc>
      </w:tr>
      <w:tr>
        <w:tblPrEx>
          <w:tblBorders>
            <w:top w:val="single" w:color="2E75B6" w:sz="8" w:space="0"/>
            <w:left w:val="single" w:color="2E75B6" w:sz="8" w:space="0"/>
            <w:bottom w:val="single" w:color="2E75B6" w:sz="8" w:space="0"/>
            <w:right w:val="single" w:color="2E75B6" w:sz="8" w:space="0"/>
            <w:insideH w:val="single" w:color="2E75B6" w:sz="8" w:space="0"/>
            <w:insideV w:val="single" w:color="2E75B6" w:sz="8" w:space="0"/>
          </w:tblBorders>
          <w:tblCellMar>
            <w:top w:w="0" w:type="dxa"/>
            <w:left w:w="108" w:type="dxa"/>
            <w:bottom w:w="0" w:type="dxa"/>
            <w:right w:w="108" w:type="dxa"/>
          </w:tblCellMar>
        </w:tblPrEx>
        <w:tc>
          <w:tcPr>
            <w:tcW w:w="8296" w:type="dxa"/>
            <w:tcBorders>
              <w:tl2br w:val="nil"/>
              <w:tr2bl w:val="nil"/>
            </w:tcBorders>
            <w:shd w:val="clear" w:color="auto" w:fill="DEEBF6" w:themeFill="accent5" w:themeFillTint="32"/>
          </w:tcPr>
          <w:p>
            <w:pPr>
              <w:spacing w:line="360" w:lineRule="auto"/>
              <w:rPr>
                <w:rFonts w:ascii="Times New Roman" w:hAnsi="Times New Roman" w:eastAsia="宋体" w:cs="Times New Roman"/>
                <w:sz w:val="24"/>
                <w:szCs w:val="24"/>
              </w:rPr>
            </w:pPr>
            <m:oMathPara>
              <m:oMath>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E</m:t>
                    </m:r>
                    <m:ctrlPr>
                      <w:rPr>
                        <w:rFonts w:ascii="Cambria Math" w:hAnsi="Cambria Math" w:eastAsia="宋体" w:cs="Times New Roman"/>
                        <w:sz w:val="24"/>
                        <w:szCs w:val="24"/>
                      </w:rPr>
                    </m:ctrlPr>
                  </m:e>
                  <m:sub>
                    <m:r>
                      <m:rPr>
                        <m:sty m:val="p"/>
                      </m:rPr>
                      <w:rPr>
                        <w:rFonts w:hint="eastAsia" w:ascii="Cambria Math" w:hAnsi="Cambria Math" w:eastAsia="宋体" w:cs="Times New Roman"/>
                        <w:sz w:val="24"/>
                        <w:szCs w:val="24"/>
                        <w:lang w:val="en-US" w:eastAsia="zh-CN"/>
                      </w:rPr>
                      <m:t>通勤</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AD</m:t>
                    </m:r>
                    <m:ctrlPr>
                      <w:rPr>
                        <w:rFonts w:ascii="Cambria Math" w:hAnsi="Cambria Math" w:eastAsia="宋体" w:cs="Times New Roman"/>
                        <w:sz w:val="24"/>
                        <w:szCs w:val="24"/>
                      </w:rPr>
                    </m:ctrlPr>
                  </m:e>
                  <m:sub>
                    <m:r>
                      <m:rPr>
                        <m:sty m:val="p"/>
                      </m:rPr>
                      <w:rPr>
                        <w:rFonts w:hint="eastAsia" w:ascii="Cambria Math" w:hAnsi="Cambria Math" w:eastAsia="宋体" w:cs="Times New Roman"/>
                        <w:sz w:val="24"/>
                        <w:szCs w:val="24"/>
                        <w:lang w:val="en-US" w:eastAsia="zh-CN"/>
                      </w:rPr>
                      <m:t>通勤方式</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EF</m:t>
                    </m:r>
                    <m:ctrlPr>
                      <w:rPr>
                        <w:rFonts w:ascii="Cambria Math" w:hAnsi="Cambria Math" w:eastAsia="宋体" w:cs="Times New Roman"/>
                        <w:sz w:val="24"/>
                        <w:szCs w:val="24"/>
                      </w:rPr>
                    </m:ctrlPr>
                  </m:e>
                  <m:sub>
                    <m:r>
                      <m:rPr>
                        <m:sty m:val="p"/>
                      </m:rPr>
                      <w:rPr>
                        <w:rFonts w:hint="eastAsia" w:ascii="Cambria Math" w:hAnsi="Cambria Math" w:eastAsia="宋体" w:cs="Times New Roman"/>
                        <w:sz w:val="24"/>
                        <w:szCs w:val="24"/>
                        <w:lang w:val="en-US" w:eastAsia="zh-CN"/>
                      </w:rPr>
                      <m:t>通勤方式</m:t>
                    </m:r>
                    <m:ctrlPr>
                      <w:rPr>
                        <w:rFonts w:ascii="Cambria Math" w:hAnsi="Cambria Math" w:eastAsia="宋体" w:cs="Times New Roman"/>
                        <w:sz w:val="24"/>
                        <w:szCs w:val="24"/>
                      </w:rPr>
                    </m:ctrlPr>
                  </m:sub>
                </m:sSub>
              </m:oMath>
            </m:oMathPara>
          </w:p>
          <w:p>
            <w:pPr>
              <w:spacing w:line="360" w:lineRule="auto"/>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auto"/>
              <w:rPr>
                <w:rFonts w:ascii="Times New Roman" w:hAnsi="Times New Roman" w:eastAsia="宋体" w:cs="Times New Roman"/>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E</m:t>
                  </m:r>
                  <m:ctrlPr>
                    <w:rPr>
                      <w:rFonts w:ascii="Cambria Math" w:hAnsi="Cambria Math" w:eastAsia="宋体" w:cs="Times New Roman"/>
                      <w:szCs w:val="21"/>
                    </w:rPr>
                  </m:ctrlPr>
                </m:e>
                <m:sub>
                  <m:r>
                    <m:rPr>
                      <m:sty m:val="p"/>
                    </m:rPr>
                    <w:rPr>
                      <w:rFonts w:hint="eastAsia" w:ascii="Cambria Math" w:hAnsi="Cambria Math" w:eastAsia="宋体" w:cs="Times New Roman"/>
                      <w:szCs w:val="21"/>
                      <w:lang w:val="en-US" w:eastAsia="zh-CN"/>
                    </w:rPr>
                    <m:t>通勤</m:t>
                  </m:r>
                  <m:ctrlPr>
                    <w:rPr>
                      <w:rFonts w:ascii="Cambria Math" w:hAnsi="Cambria Math" w:eastAsia="宋体" w:cs="Times New Roman"/>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员工通勤</w:t>
            </w:r>
            <w:r>
              <w:rPr>
                <w:rFonts w:ascii="Times New Roman" w:hAnsi="Times New Roman" w:eastAsia="宋体" w:cs="Times New Roman"/>
                <w:szCs w:val="21"/>
              </w:rPr>
              <w:t>所产生的二氧化碳排放量，单位为吨二氧化碳（tCO2）；</w:t>
            </w:r>
          </w:p>
          <w:p>
            <w:pPr>
              <w:spacing w:line="360" w:lineRule="auto"/>
              <w:rPr>
                <w:rFonts w:ascii="Times New Roman" w:hAnsi="Times New Roman" w:eastAsia="宋体" w:cs="Times New Roman"/>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AD</m:t>
                  </m:r>
                  <m:ctrlPr>
                    <w:rPr>
                      <w:rFonts w:ascii="Cambria Math" w:hAnsi="Cambria Math" w:eastAsia="宋体" w:cs="Times New Roman"/>
                      <w:szCs w:val="21"/>
                    </w:rPr>
                  </m:ctrlPr>
                </m:e>
                <m:sub>
                  <m:r>
                    <m:rPr>
                      <m:sty m:val="p"/>
                    </m:rPr>
                    <w:rPr>
                      <w:rFonts w:ascii="Cambria Math" w:hAnsi="Cambria Math" w:eastAsia="宋体" w:cs="Times New Roman"/>
                      <w:szCs w:val="21"/>
                    </w:rPr>
                    <m:t>购入电</m:t>
                  </m:r>
                  <m:ctrlPr>
                    <w:rPr>
                      <w:rFonts w:ascii="Cambria Math" w:hAnsi="Cambria Math" w:eastAsia="宋体" w:cs="Times New Roman"/>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员工通勤方式的里程数</w:t>
            </w:r>
            <w:r>
              <w:rPr>
                <w:rFonts w:ascii="Times New Roman" w:hAnsi="Times New Roman" w:eastAsia="宋体" w:cs="Times New Roman"/>
                <w:szCs w:val="21"/>
              </w:rPr>
              <w:t>，单位为</w:t>
            </w:r>
            <w:r>
              <w:rPr>
                <w:rFonts w:hint="eastAsia" w:ascii="Times New Roman" w:hAnsi="Times New Roman" w:eastAsia="宋体" w:cs="Times New Roman"/>
                <w:szCs w:val="21"/>
                <w:lang w:val="en-US" w:eastAsia="zh-CN"/>
              </w:rPr>
              <w:t>公里</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KM</w:t>
            </w:r>
            <w:r>
              <w:rPr>
                <w:rFonts w:ascii="Times New Roman" w:hAnsi="Times New Roman" w:eastAsia="宋体" w:cs="Times New Roman"/>
                <w:szCs w:val="21"/>
              </w:rPr>
              <w:t>）；</w:t>
            </w:r>
          </w:p>
          <w:p>
            <w:pPr>
              <w:spacing w:line="360" w:lineRule="auto"/>
              <w:rPr>
                <w:rFonts w:ascii="Times New Roman" w:hAnsi="Times New Roman" w:eastAsia="楷体" w:cs="Times New Roman"/>
                <w:color w:val="FF0000"/>
                <w:kern w:val="0"/>
                <w:sz w:val="20"/>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EF</m:t>
                  </m:r>
                  <m:ctrlPr>
                    <w:rPr>
                      <w:rFonts w:ascii="Cambria Math" w:hAnsi="Cambria Math" w:eastAsia="宋体" w:cs="Times New Roman"/>
                      <w:szCs w:val="21"/>
                    </w:rPr>
                  </m:ctrlPr>
                </m:e>
                <m:sub>
                  <m:r>
                    <m:rPr>
                      <m:sty m:val="p"/>
                    </m:rPr>
                    <w:rPr>
                      <w:rFonts w:ascii="Cambria Math" w:hAnsi="Cambria Math" w:eastAsia="宋体" w:cs="Times New Roman"/>
                      <w:szCs w:val="21"/>
                    </w:rPr>
                    <m:t>电力</m:t>
                  </m:r>
                  <m:ctrlPr>
                    <w:rPr>
                      <w:rFonts w:ascii="Cambria Math" w:hAnsi="Cambria Math" w:eastAsia="宋体" w:cs="Times New Roman"/>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不同通勤方式</w:t>
            </w:r>
            <w:r>
              <w:rPr>
                <w:rFonts w:ascii="Times New Roman" w:hAnsi="Times New Roman" w:eastAsia="宋体" w:cs="Times New Roman"/>
                <w:szCs w:val="21"/>
              </w:rPr>
              <w:t>的二氧化碳排放因子，单位为吨二氧化碳每</w:t>
            </w:r>
            <w:r>
              <w:rPr>
                <w:rFonts w:hint="eastAsia" w:ascii="Times New Roman" w:hAnsi="Times New Roman" w:eastAsia="宋体" w:cs="Times New Roman"/>
                <w:szCs w:val="21"/>
                <w:lang w:val="en-US" w:eastAsia="zh-CN"/>
              </w:rPr>
              <w:t>公里</w:t>
            </w:r>
            <w:r>
              <w:rPr>
                <w:rFonts w:ascii="Times New Roman" w:hAnsi="Times New Roman" w:eastAsia="宋体" w:cs="Times New Roman"/>
                <w:szCs w:val="21"/>
              </w:rPr>
              <w:t>（tCO2/</w:t>
            </w:r>
            <w:r>
              <w:rPr>
                <w:rFonts w:hint="eastAsia" w:ascii="Times New Roman" w:hAnsi="Times New Roman" w:eastAsia="宋体" w:cs="Times New Roman"/>
                <w:szCs w:val="21"/>
                <w:lang w:val="en-US" w:eastAsia="zh-CN"/>
              </w:rPr>
              <w:t>KM</w:t>
            </w:r>
            <w:r>
              <w:rPr>
                <w:rFonts w:ascii="Times New Roman" w:hAnsi="Times New Roman" w:eastAsia="宋体" w:cs="Times New Roman"/>
                <w:szCs w:val="21"/>
              </w:rPr>
              <w:t>）。</w:t>
            </w:r>
          </w:p>
        </w:tc>
      </w:tr>
    </w:tbl>
    <w:p>
      <w:pPr>
        <w:spacing w:line="360" w:lineRule="auto"/>
        <w:rPr>
          <w:rFonts w:ascii="Times New Roman" w:hAnsi="Times New Roman" w:eastAsia="黑体" w:cs="黑体"/>
          <w:sz w:val="30"/>
          <w:szCs w:val="30"/>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spacing w:line="360" w:lineRule="auto"/>
        <w:rPr>
          <w:rFonts w:ascii="Times New Roman" w:hAnsi="Times New Roman" w:eastAsia="黑体" w:cs="黑体"/>
          <w:sz w:val="30"/>
          <w:szCs w:val="30"/>
        </w:rPr>
      </w:pPr>
    </w:p>
    <w:p>
      <w:pPr>
        <w:spacing w:line="360" w:lineRule="auto"/>
        <w:rPr>
          <w:rFonts w:ascii="Times New Roman" w:hAnsi="Times New Roman" w:eastAsia="黑体" w:cs="黑体"/>
          <w:sz w:val="30"/>
          <w:szCs w:val="30"/>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ind w:firstLine="600"/>
        <w:rPr>
          <w:rFonts w:hint="default" w:ascii="Times New Roman" w:hAnsi="Times New Roman" w:eastAsia="黑体" w:cs="黑体"/>
          <w:sz w:val="30"/>
          <w:szCs w:val="30"/>
        </w:rPr>
      </w:pPr>
    </w:p>
    <w:p>
      <w:pPr>
        <w:pStyle w:val="2"/>
        <w:spacing w:line="360" w:lineRule="auto"/>
        <w:rPr>
          <w:rFonts w:hint="default" w:ascii="Times New Roman" w:hAnsi="Times New Roman"/>
        </w:rPr>
      </w:pPr>
      <w:r>
        <w:rPr>
          <w:rFonts w:hint="default" w:ascii="Times New Roman" w:hAnsi="Times New Roman"/>
        </w:rPr>
        <w:drawing>
          <wp:inline distT="0" distB="0" distL="114300" distR="114300">
            <wp:extent cx="4561840" cy="2470150"/>
            <wp:effectExtent l="0" t="0" r="10160" b="190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4"/>
                    <a:stretch>
                      <a:fillRect/>
                    </a:stretch>
                  </pic:blipFill>
                  <pic:spPr>
                    <a:xfrm>
                      <a:off x="0" y="0"/>
                      <a:ext cx="4561840" cy="2470150"/>
                    </a:xfrm>
                    <a:prstGeom prst="rect">
                      <a:avLst/>
                    </a:prstGeom>
                    <a:noFill/>
                    <a:ln>
                      <a:noFill/>
                    </a:ln>
                  </pic:spPr>
                </pic:pic>
              </a:graphicData>
            </a:graphic>
          </wp:inline>
        </w:drawing>
      </w: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rPr>
          <w:rFonts w:hint="default" w:ascii="Times New Roman" w:hAnsi="Times New Roman"/>
        </w:rPr>
      </w:pPr>
    </w:p>
    <w:p>
      <w:pPr>
        <w:pStyle w:val="2"/>
        <w:spacing w:line="360" w:lineRule="auto"/>
        <w:ind w:left="0" w:leftChars="0" w:firstLine="0" w:firstLineChars="0"/>
        <w:rPr>
          <w:rFonts w:hint="default" w:ascii="Times New Roman" w:hAnsi="Times New Roman"/>
        </w:rPr>
      </w:pPr>
    </w:p>
    <w:p>
      <w:pPr>
        <w:pStyle w:val="2"/>
        <w:spacing w:line="360" w:lineRule="auto"/>
        <w:ind w:left="0" w:leftChars="0" w:firstLine="0" w:firstLineChars="0"/>
        <w:rPr>
          <w:rFonts w:hint="default" w:ascii="Times New Roman" w:hAnsi="Times New Roman"/>
        </w:rPr>
      </w:pPr>
    </w:p>
    <w:p>
      <w:pPr>
        <w:pStyle w:val="2"/>
        <w:spacing w:line="360" w:lineRule="auto"/>
        <w:ind w:left="0" w:leftChars="0" w:firstLine="0" w:firstLineChars="0"/>
        <w:rPr>
          <w:rFonts w:hint="default" w:ascii="Times New Roman" w:hAnsi="Times New Roman"/>
          <w:color w:val="2F5597" w:themeColor="accent1" w:themeShade="BF"/>
        </w:rPr>
      </w:pPr>
    </w:p>
    <w:p>
      <w:pPr>
        <w:pStyle w:val="2"/>
        <w:spacing w:line="360" w:lineRule="auto"/>
        <w:rPr>
          <w:rFonts w:hint="default" w:ascii="Times New Roman" w:hAnsi="Times New Roman"/>
          <w:color w:val="2F5597" w:themeColor="accent1" w:themeShade="BF"/>
        </w:rPr>
      </w:pPr>
    </w:p>
    <w:p>
      <w:pPr>
        <w:pStyle w:val="2"/>
        <w:spacing w:line="360" w:lineRule="auto"/>
        <w:ind w:left="0" w:leftChars="0" w:firstLine="0" w:firstLineChars="0"/>
        <w:rPr>
          <w:rFonts w:hint="default" w:ascii="Times New Roman" w:hAnsi="Times New Roman" w:eastAsia="宋体" w:cs="宋体"/>
          <w:b/>
          <w:bCs/>
          <w:color w:val="2F5597" w:themeColor="accent1" w:themeShade="BF"/>
          <w:sz w:val="24"/>
          <w:szCs w:val="28"/>
        </w:rPr>
      </w:pPr>
      <w:r>
        <w:rPr>
          <w:rFonts w:ascii="Times New Roman" w:hAnsi="Times New Roman" w:eastAsia="宋体" w:cs="宋体"/>
          <w:b/>
          <w:bCs/>
          <w:color w:val="2F5597" w:themeColor="accent1" w:themeShade="BF"/>
          <w:sz w:val="24"/>
          <w:szCs w:val="28"/>
        </w:rPr>
        <w:t>机构联系方式：（</w:t>
      </w:r>
      <w:r>
        <w:rPr>
          <w:rFonts w:hint="default" w:ascii="Times New Roman" w:hAnsi="Times New Roman" w:eastAsia="宋体" w:cs="宋体"/>
          <w:b/>
          <w:bCs/>
          <w:color w:val="2F5597" w:themeColor="accent1" w:themeShade="BF"/>
          <w:sz w:val="24"/>
          <w:szCs w:val="28"/>
        </w:rPr>
        <w:t>+86</w:t>
      </w:r>
      <w:r>
        <w:rPr>
          <w:rFonts w:ascii="Times New Roman" w:hAnsi="Times New Roman" w:eastAsia="宋体" w:cs="宋体"/>
          <w:b/>
          <w:bCs/>
          <w:color w:val="2F5597" w:themeColor="accent1" w:themeShade="BF"/>
          <w:sz w:val="24"/>
          <w:szCs w:val="28"/>
        </w:rPr>
        <w:t>）</w:t>
      </w:r>
      <w:r>
        <w:rPr>
          <w:rFonts w:hint="default" w:ascii="Times New Roman" w:hAnsi="Times New Roman" w:eastAsia="宋体" w:cs="宋体"/>
          <w:b/>
          <w:bCs/>
          <w:color w:val="2F5597" w:themeColor="accent1" w:themeShade="BF"/>
          <w:sz w:val="24"/>
          <w:szCs w:val="28"/>
        </w:rPr>
        <w:t>0750-6339115</w:t>
      </w:r>
    </w:p>
    <w:p>
      <w:pPr>
        <w:pStyle w:val="2"/>
        <w:spacing w:line="360" w:lineRule="auto"/>
        <w:ind w:left="0" w:leftChars="0" w:firstLine="0" w:firstLineChars="0"/>
        <w:rPr>
          <w:rFonts w:hint="default" w:ascii="Times New Roman" w:hAnsi="Times New Roman" w:eastAsia="宋体" w:cs="宋体"/>
          <w:b/>
          <w:bCs/>
          <w:color w:val="2F5597" w:themeColor="accent1" w:themeShade="BF"/>
          <w:sz w:val="24"/>
          <w:szCs w:val="28"/>
        </w:rPr>
      </w:pPr>
      <w:r>
        <w:rPr>
          <w:rFonts w:ascii="Times New Roman" w:hAnsi="Times New Roman" w:eastAsia="宋体" w:cs="宋体"/>
          <w:b/>
          <w:bCs/>
          <w:color w:val="2F5597" w:themeColor="accent1" w:themeShade="BF"/>
          <w:sz w:val="24"/>
          <w:szCs w:val="28"/>
        </w:rPr>
        <w:t>机构网址：</w:t>
      </w:r>
      <w:r>
        <w:rPr>
          <w:rFonts w:hint="default" w:ascii="Times New Roman" w:hAnsi="Times New Roman" w:eastAsia="宋体" w:cs="宋体"/>
          <w:b/>
          <w:bCs/>
          <w:color w:val="2F5597" w:themeColor="accent1" w:themeShade="BF"/>
          <w:sz w:val="24"/>
          <w:szCs w:val="28"/>
        </w:rPr>
        <w:t>www.jmrcb.net/jiangmen</w:t>
      </w:r>
    </w:p>
    <w:p>
      <w:pPr>
        <w:pStyle w:val="2"/>
        <w:spacing w:line="360" w:lineRule="auto"/>
        <w:ind w:left="0" w:leftChars="0" w:firstLine="0" w:firstLineChars="0"/>
        <w:rPr>
          <w:rFonts w:hint="default" w:ascii="Times New Roman" w:hAnsi="Times New Roman" w:eastAsia="宋体"/>
          <w:color w:val="2F5597" w:themeColor="accent1" w:themeShade="BF"/>
          <w:lang w:eastAsia="zh-Hans"/>
        </w:rPr>
      </w:pPr>
      <w:r>
        <w:rPr>
          <w:rFonts w:ascii="Times New Roman" w:hAnsi="Times New Roman" w:eastAsia="宋体" w:cs="宋体"/>
          <w:b/>
          <w:bCs/>
          <w:color w:val="2F5597" w:themeColor="accent1" w:themeShade="BF"/>
          <w:sz w:val="24"/>
          <w:szCs w:val="28"/>
        </w:rPr>
        <w:t>机构地址：</w:t>
      </w:r>
      <w:r>
        <w:rPr>
          <w:rFonts w:ascii="Times New Roman" w:hAnsi="Times New Roman" w:eastAsia="宋体" w:cs="宋体"/>
          <w:b/>
          <w:bCs/>
          <w:color w:val="2F5597" w:themeColor="accent1" w:themeShade="BF"/>
          <w:sz w:val="24"/>
          <w:szCs w:val="28"/>
          <w:lang w:eastAsia="zh-Hans"/>
        </w:rPr>
        <w:t>江门市新会区会城街道中心南路</w:t>
      </w:r>
      <w:r>
        <w:rPr>
          <w:rFonts w:hint="default" w:ascii="Times New Roman" w:hAnsi="Times New Roman" w:eastAsia="宋体" w:cs="宋体"/>
          <w:b/>
          <w:bCs/>
          <w:color w:val="2F5597" w:themeColor="accent1" w:themeShade="BF"/>
          <w:sz w:val="24"/>
          <w:szCs w:val="28"/>
          <w:lang w:eastAsia="zh-Hans"/>
        </w:rPr>
        <w:t>30</w:t>
      </w:r>
      <w:r>
        <w:rPr>
          <w:rFonts w:ascii="Times New Roman" w:hAnsi="Times New Roman" w:eastAsia="宋体" w:cs="宋体"/>
          <w:b/>
          <w:bCs/>
          <w:color w:val="2F5597" w:themeColor="accent1" w:themeShade="BF"/>
          <w:sz w:val="24"/>
          <w:szCs w:val="28"/>
          <w:lang w:eastAsia="zh-Hans"/>
        </w:rPr>
        <w:t>号</w:t>
      </w:r>
    </w:p>
    <w:sectPr>
      <w:pgSz w:w="11906" w:h="16838"/>
      <w:pgMar w:top="1440" w:right="1800" w:bottom="1440" w:left="1800" w:header="102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PingFang SC">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29"/>
        </w:rPr>
        <w:footnoteRef/>
      </w:r>
      <w:r>
        <w:t>1.</w:t>
      </w:r>
      <w:r>
        <w:rPr>
          <w:rFonts w:hint="eastAsia"/>
        </w:rPr>
        <w:t>投融资活动产生的环境影响核算口径为对公贷款表内清单；</w:t>
      </w:r>
    </w:p>
    <w:p>
      <w:pPr>
        <w:pStyle w:val="18"/>
      </w:pPr>
      <w:r>
        <w:rPr>
          <w:rFonts w:hint="eastAsia"/>
        </w:rPr>
        <w:t>2.</w:t>
      </w:r>
      <w:r>
        <w:rPr>
          <w:rFonts w:hint="eastAsia"/>
          <w:lang w:val="en-US" w:eastAsia="zh-CN"/>
        </w:rPr>
        <w:t>参与核算的投融资活动为贷款余额500万元以上企业，</w:t>
      </w:r>
      <w:r>
        <w:rPr>
          <w:rFonts w:hint="eastAsia"/>
        </w:rPr>
        <w:t>投融资活动折合排放二氧化碳当量核算按照《金融机构碳核算指南》的核算边界和核算方法开展</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楷体" w:hAnsi="楷体" w:eastAsia="楷体"/>
        <w:b/>
        <w:bCs/>
        <w:color w:val="385723" w:themeColor="accent6"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楷体" w:hAnsi="楷体" w:eastAsia="楷体"/>
        <w:b/>
        <w:bCs/>
        <w:color w:val="385723" w:themeColor="accent6" w:themeShade="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rPr>
        <w:rFonts w:ascii="Times New Roman" w:hAnsi="Times New Roman" w:eastAsia="宋体" w:cs="Times New Roman"/>
        <w:b/>
        <w:bCs/>
        <w:color w:val="2E75B6" w:themeColor="accent5" w:themeShade="BF"/>
      </w:rPr>
    </w:pPr>
    <w:r>
      <w:rPr>
        <w:rFonts w:hint="eastAsia" w:ascii="Times New Roman" w:hAnsi="Times New Roman" w:eastAsia="宋体" w:cs="Times New Roman"/>
        <w:b/>
        <w:bCs/>
        <w:color w:val="2E75B6" w:themeColor="accent5" w:themeShade="BF"/>
        <w:lang w:eastAsia="zh-Hans"/>
      </w:rPr>
      <w:t>江门农村商业</w:t>
    </w:r>
    <w:r>
      <w:rPr>
        <w:rFonts w:ascii="Times New Roman" w:hAnsi="Times New Roman" w:eastAsia="宋体" w:cs="Times New Roman"/>
        <w:b/>
        <w:bCs/>
        <w:color w:val="2E75B6" w:themeColor="accent5" w:themeShade="BF"/>
      </w:rPr>
      <w:t>银行股份有限公司环境信息披露报告（2022年</w:t>
    </w:r>
    <w:r>
      <w:rPr>
        <w:rFonts w:hint="eastAsia" w:ascii="Times New Roman" w:hAnsi="Times New Roman" w:eastAsia="宋体" w:cs="Times New Roman"/>
        <w:b/>
        <w:bCs/>
        <w:color w:val="2E75B6" w:themeColor="accent5" w:themeShade="BF"/>
      </w:rPr>
      <w:t>度</w:t>
    </w:r>
    <w:r>
      <w:rPr>
        <w:rFonts w:ascii="Times New Roman" w:hAnsi="Times New Roman" w:eastAsia="宋体" w:cs="Times New Roman"/>
        <w:b/>
        <w:bCs/>
        <w:color w:val="2E75B6" w:themeColor="accent5" w:themeShade="B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024px;height:1024px" o:bullet="t">
        <v:imagedata r:id="rId1" o:title=""/>
      </v:shape>
    </w:pict>
  </w:numPicBullet>
  <w:abstractNum w:abstractNumId="0">
    <w:nsid w:val="A7122546"/>
    <w:multiLevelType w:val="singleLevel"/>
    <w:tmpl w:val="A7122546"/>
    <w:lvl w:ilvl="0" w:tentative="0">
      <w:start w:val="1"/>
      <w:numFmt w:val="bullet"/>
      <w:lvlText w:val=""/>
      <w:lvlJc w:val="left"/>
      <w:pPr>
        <w:ind w:left="840" w:hanging="420"/>
      </w:pPr>
      <w:rPr>
        <w:rFonts w:hint="default" w:ascii="Wingdings" w:hAnsi="Wingdings"/>
      </w:rPr>
    </w:lvl>
  </w:abstractNum>
  <w:abstractNum w:abstractNumId="1">
    <w:nsid w:val="B66ED1C4"/>
    <w:multiLevelType w:val="singleLevel"/>
    <w:tmpl w:val="B66ED1C4"/>
    <w:lvl w:ilvl="0" w:tentative="0">
      <w:start w:val="1"/>
      <w:numFmt w:val="bullet"/>
      <w:lvlText w:val=""/>
      <w:lvlJc w:val="left"/>
      <w:pPr>
        <w:ind w:left="840" w:hanging="420"/>
      </w:pPr>
      <w:rPr>
        <w:rFonts w:hint="default" w:ascii="Wingdings" w:hAnsi="Wingdings"/>
        <w:color w:val="385723" w:themeColor="accent6" w:themeShade="80"/>
      </w:rPr>
    </w:lvl>
  </w:abstractNum>
  <w:abstractNum w:abstractNumId="2">
    <w:nsid w:val="C40ECF7E"/>
    <w:multiLevelType w:val="singleLevel"/>
    <w:tmpl w:val="C40ECF7E"/>
    <w:lvl w:ilvl="0" w:tentative="0">
      <w:start w:val="1"/>
      <w:numFmt w:val="bullet"/>
      <w:lvlText w:val=""/>
      <w:lvlJc w:val="left"/>
      <w:pPr>
        <w:ind w:left="840" w:hanging="420"/>
      </w:pPr>
      <w:rPr>
        <w:rFonts w:hint="default" w:ascii="Wingdings" w:hAnsi="Wingdings"/>
        <w:color w:val="2E75B6" w:themeColor="accent5" w:themeShade="BF"/>
      </w:rPr>
    </w:lvl>
  </w:abstractNum>
  <w:abstractNum w:abstractNumId="3">
    <w:nsid w:val="C7E7FA51"/>
    <w:multiLevelType w:val="singleLevel"/>
    <w:tmpl w:val="C7E7FA51"/>
    <w:lvl w:ilvl="0" w:tentative="0">
      <w:start w:val="1"/>
      <w:numFmt w:val="bullet"/>
      <w:lvlText w:val=""/>
      <w:lvlJc w:val="left"/>
      <w:pPr>
        <w:ind w:left="420" w:hanging="420"/>
      </w:pPr>
      <w:rPr>
        <w:rFonts w:hint="default" w:ascii="Wingdings" w:hAnsi="Wingdings"/>
      </w:rPr>
    </w:lvl>
  </w:abstractNum>
  <w:abstractNum w:abstractNumId="4">
    <w:nsid w:val="CDC2DF99"/>
    <w:multiLevelType w:val="singleLevel"/>
    <w:tmpl w:val="CDC2DF99"/>
    <w:lvl w:ilvl="0" w:tentative="0">
      <w:start w:val="1"/>
      <w:numFmt w:val="bullet"/>
      <w:lvlText w:val=""/>
      <w:lvlJc w:val="left"/>
      <w:pPr>
        <w:tabs>
          <w:tab w:val="left" w:pos="420"/>
        </w:tabs>
        <w:ind w:left="840" w:hanging="420"/>
      </w:pPr>
      <w:rPr>
        <w:rFonts w:hint="default" w:ascii="Wingdings" w:hAnsi="Wingdings"/>
        <w:color w:val="2E75B6" w:themeColor="accent5" w:themeShade="BF"/>
      </w:rPr>
    </w:lvl>
  </w:abstractNum>
  <w:abstractNum w:abstractNumId="5">
    <w:nsid w:val="CFBEDEC5"/>
    <w:multiLevelType w:val="singleLevel"/>
    <w:tmpl w:val="CFBEDEC5"/>
    <w:lvl w:ilvl="0" w:tentative="0">
      <w:start w:val="1"/>
      <w:numFmt w:val="bullet"/>
      <w:lvlText w:val=""/>
      <w:lvlJc w:val="left"/>
      <w:pPr>
        <w:ind w:left="840" w:hanging="420"/>
      </w:pPr>
      <w:rPr>
        <w:rFonts w:hint="default" w:ascii="Wingdings" w:hAnsi="Wingdings"/>
        <w:color w:val="2E75B6" w:themeColor="accent5" w:themeShade="BF"/>
        <w:sz w:val="22"/>
        <w:szCs w:val="22"/>
      </w:rPr>
    </w:lvl>
  </w:abstractNum>
  <w:abstractNum w:abstractNumId="6">
    <w:nsid w:val="FAED4048"/>
    <w:multiLevelType w:val="singleLevel"/>
    <w:tmpl w:val="FAED4048"/>
    <w:lvl w:ilvl="0" w:tentative="0">
      <w:start w:val="1"/>
      <w:numFmt w:val="bullet"/>
      <w:lvlText w:val=""/>
      <w:lvlJc w:val="left"/>
      <w:pPr>
        <w:ind w:left="840" w:hanging="420"/>
      </w:pPr>
      <w:rPr>
        <w:rFonts w:hint="default" w:ascii="Wingdings" w:hAnsi="Wingdings"/>
        <w:color w:val="2E75B6" w:themeColor="accent5" w:themeShade="BF"/>
      </w:rPr>
    </w:lvl>
  </w:abstractNum>
  <w:abstractNum w:abstractNumId="7">
    <w:nsid w:val="FDCE4C2E"/>
    <w:multiLevelType w:val="singleLevel"/>
    <w:tmpl w:val="FDCE4C2E"/>
    <w:lvl w:ilvl="0" w:tentative="0">
      <w:start w:val="1"/>
      <w:numFmt w:val="bullet"/>
      <w:lvlText w:val=""/>
      <w:lvlJc w:val="left"/>
      <w:pPr>
        <w:ind w:left="420" w:hanging="420"/>
      </w:pPr>
      <w:rPr>
        <w:rFonts w:hint="default" w:ascii="Wingdings" w:hAnsi="Wingdings"/>
      </w:rPr>
    </w:lvl>
  </w:abstractNum>
  <w:abstractNum w:abstractNumId="8">
    <w:nsid w:val="04654672"/>
    <w:multiLevelType w:val="multilevel"/>
    <w:tmpl w:val="04654672"/>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CC052F3"/>
    <w:multiLevelType w:val="multilevel"/>
    <w:tmpl w:val="0CC052F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EC83E2C"/>
    <w:multiLevelType w:val="multilevel"/>
    <w:tmpl w:val="0EC83E2C"/>
    <w:lvl w:ilvl="0" w:tentative="0">
      <w:start w:val="1"/>
      <w:numFmt w:val="japaneseCounting"/>
      <w:lvlText w:val="（%1）"/>
      <w:lvlJc w:val="left"/>
      <w:pPr>
        <w:ind w:left="750" w:hanging="7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0AC4F32"/>
    <w:multiLevelType w:val="multilevel"/>
    <w:tmpl w:val="10AC4F32"/>
    <w:lvl w:ilvl="0" w:tentative="0">
      <w:start w:val="1"/>
      <w:numFmt w:val="chineseCountingThousand"/>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C1515C6"/>
    <w:multiLevelType w:val="multilevel"/>
    <w:tmpl w:val="1C1515C6"/>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DE2190A"/>
    <w:multiLevelType w:val="multilevel"/>
    <w:tmpl w:val="1DE2190A"/>
    <w:lvl w:ilvl="0" w:tentative="0">
      <w:start w:val="1"/>
      <w:numFmt w:val="bullet"/>
      <w:lvlText w:val=""/>
      <w:lvlJc w:val="left"/>
      <w:pPr>
        <w:ind w:left="440" w:hanging="440"/>
      </w:pPr>
      <w:rPr>
        <w:rFonts w:hint="default" w:ascii="Wingdings" w:hAnsi="Wingdings"/>
        <w:color w:val="2E75B6" w:themeColor="accent5" w:themeShade="BF"/>
        <w:sz w:val="24"/>
        <w:szCs w:val="24"/>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29F01FC8"/>
    <w:multiLevelType w:val="multilevel"/>
    <w:tmpl w:val="29F01FC8"/>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33797361"/>
    <w:multiLevelType w:val="multilevel"/>
    <w:tmpl w:val="33797361"/>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34107A7C"/>
    <w:multiLevelType w:val="multilevel"/>
    <w:tmpl w:val="34107A7C"/>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344755DE"/>
    <w:multiLevelType w:val="multilevel"/>
    <w:tmpl w:val="344755DE"/>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3E8F22B5"/>
    <w:multiLevelType w:val="multilevel"/>
    <w:tmpl w:val="3E8F22B5"/>
    <w:lvl w:ilvl="0" w:tentative="0">
      <w:start w:val="1"/>
      <w:numFmt w:val="bullet"/>
      <w:lvlText w:val=""/>
      <w:lvlJc w:val="left"/>
      <w:pPr>
        <w:ind w:left="440" w:hanging="440"/>
      </w:pPr>
      <w:rPr>
        <w:rFonts w:hint="default" w:ascii="Wingdings" w:hAnsi="Wingdings"/>
        <w:color w:val="2E75B6" w:themeColor="accent5" w:themeShade="BF"/>
        <w:sz w:val="24"/>
        <w:szCs w:val="24"/>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423CA6B5"/>
    <w:multiLevelType w:val="singleLevel"/>
    <w:tmpl w:val="423CA6B5"/>
    <w:lvl w:ilvl="0" w:tentative="0">
      <w:start w:val="1"/>
      <w:numFmt w:val="bullet"/>
      <w:lvlText w:val=""/>
      <w:lvlJc w:val="left"/>
      <w:pPr>
        <w:ind w:left="840" w:hanging="420"/>
      </w:pPr>
      <w:rPr>
        <w:rFonts w:hint="default" w:ascii="Wingdings" w:hAnsi="Wingdings"/>
        <w:color w:val="385723" w:themeColor="accent6" w:themeShade="80"/>
      </w:rPr>
    </w:lvl>
  </w:abstractNum>
  <w:abstractNum w:abstractNumId="20">
    <w:nsid w:val="48BE5AA2"/>
    <w:multiLevelType w:val="singleLevel"/>
    <w:tmpl w:val="48BE5AA2"/>
    <w:lvl w:ilvl="0" w:tentative="0">
      <w:start w:val="1"/>
      <w:numFmt w:val="bullet"/>
      <w:lvlText w:val=""/>
      <w:lvlJc w:val="left"/>
      <w:pPr>
        <w:ind w:left="840" w:hanging="420"/>
      </w:pPr>
      <w:rPr>
        <w:rFonts w:hint="default" w:ascii="Wingdings" w:hAnsi="Wingdings"/>
        <w:color w:val="2E75B6" w:themeColor="accent5" w:themeShade="BF"/>
      </w:rPr>
    </w:lvl>
  </w:abstractNum>
  <w:abstractNum w:abstractNumId="21">
    <w:nsid w:val="533F5A32"/>
    <w:multiLevelType w:val="multilevel"/>
    <w:tmpl w:val="533F5A32"/>
    <w:lvl w:ilvl="0" w:tentative="0">
      <w:start w:val="1"/>
      <w:numFmt w:val="bullet"/>
      <w:lvlText w:val=""/>
      <w:lvlPicBulletId w:val="0"/>
      <w:lvlJc w:val="left"/>
      <w:pPr>
        <w:ind w:left="419" w:hanging="420"/>
      </w:pPr>
      <w:rPr>
        <w:rFonts w:hint="default" w:ascii="Wingdings" w:hAnsi="Wingdings"/>
        <w:color w:val="548235" w:themeColor="accent6" w:themeShade="BF"/>
      </w:rPr>
    </w:lvl>
    <w:lvl w:ilvl="1" w:tentative="0">
      <w:start w:val="1"/>
      <w:numFmt w:val="bullet"/>
      <w:lvlText w:val=""/>
      <w:lvlJc w:val="left"/>
      <w:pPr>
        <w:ind w:left="839" w:hanging="420"/>
      </w:pPr>
      <w:rPr>
        <w:rFonts w:hint="default" w:ascii="Wingdings" w:hAnsi="Wingdings"/>
      </w:rPr>
    </w:lvl>
    <w:lvl w:ilvl="2" w:tentative="0">
      <w:start w:val="1"/>
      <w:numFmt w:val="bullet"/>
      <w:lvlText w:val=""/>
      <w:lvlJc w:val="left"/>
      <w:pPr>
        <w:ind w:left="1259" w:hanging="420"/>
      </w:pPr>
      <w:rPr>
        <w:rFonts w:hint="default" w:ascii="Wingdings" w:hAnsi="Wingdings"/>
      </w:rPr>
    </w:lvl>
    <w:lvl w:ilvl="3" w:tentative="0">
      <w:start w:val="1"/>
      <w:numFmt w:val="bullet"/>
      <w:lvlText w:val=""/>
      <w:lvlJc w:val="left"/>
      <w:pPr>
        <w:ind w:left="1679" w:hanging="420"/>
      </w:pPr>
      <w:rPr>
        <w:rFonts w:hint="default" w:ascii="Wingdings" w:hAnsi="Wingdings"/>
      </w:rPr>
    </w:lvl>
    <w:lvl w:ilvl="4" w:tentative="0">
      <w:start w:val="1"/>
      <w:numFmt w:val="bullet"/>
      <w:lvlText w:val=""/>
      <w:lvlJc w:val="left"/>
      <w:pPr>
        <w:ind w:left="2099" w:hanging="420"/>
      </w:pPr>
      <w:rPr>
        <w:rFonts w:hint="default" w:ascii="Wingdings" w:hAnsi="Wingdings"/>
      </w:rPr>
    </w:lvl>
    <w:lvl w:ilvl="5" w:tentative="0">
      <w:start w:val="1"/>
      <w:numFmt w:val="bullet"/>
      <w:lvlText w:val=""/>
      <w:lvlJc w:val="left"/>
      <w:pPr>
        <w:ind w:left="2519" w:hanging="420"/>
      </w:pPr>
      <w:rPr>
        <w:rFonts w:hint="default" w:ascii="Wingdings" w:hAnsi="Wingdings"/>
      </w:rPr>
    </w:lvl>
    <w:lvl w:ilvl="6" w:tentative="0">
      <w:start w:val="1"/>
      <w:numFmt w:val="bullet"/>
      <w:lvlText w:val=""/>
      <w:lvlJc w:val="left"/>
      <w:pPr>
        <w:ind w:left="2939" w:hanging="420"/>
      </w:pPr>
      <w:rPr>
        <w:rFonts w:hint="default" w:ascii="Wingdings" w:hAnsi="Wingdings"/>
      </w:rPr>
    </w:lvl>
    <w:lvl w:ilvl="7" w:tentative="0">
      <w:start w:val="1"/>
      <w:numFmt w:val="bullet"/>
      <w:lvlText w:val=""/>
      <w:lvlJc w:val="left"/>
      <w:pPr>
        <w:ind w:left="3359" w:hanging="420"/>
      </w:pPr>
      <w:rPr>
        <w:rFonts w:hint="default" w:ascii="Wingdings" w:hAnsi="Wingdings"/>
      </w:rPr>
    </w:lvl>
    <w:lvl w:ilvl="8" w:tentative="0">
      <w:start w:val="1"/>
      <w:numFmt w:val="bullet"/>
      <w:lvlText w:val=""/>
      <w:lvlJc w:val="left"/>
      <w:pPr>
        <w:ind w:left="3779" w:hanging="420"/>
      </w:pPr>
      <w:rPr>
        <w:rFonts w:hint="default" w:ascii="Wingdings" w:hAnsi="Wingdings"/>
      </w:rPr>
    </w:lvl>
  </w:abstractNum>
  <w:abstractNum w:abstractNumId="22">
    <w:nsid w:val="54EC2CE9"/>
    <w:multiLevelType w:val="multilevel"/>
    <w:tmpl w:val="54EC2CE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71A22916"/>
    <w:multiLevelType w:val="multilevel"/>
    <w:tmpl w:val="71A22916"/>
    <w:lvl w:ilvl="0" w:tentative="0">
      <w:start w:val="1"/>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D4A4F43"/>
    <w:multiLevelType w:val="singleLevel"/>
    <w:tmpl w:val="7D4A4F43"/>
    <w:lvl w:ilvl="0" w:tentative="0">
      <w:start w:val="1"/>
      <w:numFmt w:val="bullet"/>
      <w:lvlText w:val=""/>
      <w:lvlJc w:val="left"/>
      <w:pPr>
        <w:ind w:left="420" w:hanging="420"/>
      </w:pPr>
      <w:rPr>
        <w:rFonts w:hint="default" w:ascii="Wingdings" w:hAnsi="Wingdings"/>
      </w:rPr>
    </w:lvl>
  </w:abstractNum>
  <w:num w:numId="1">
    <w:abstractNumId w:val="21"/>
  </w:num>
  <w:num w:numId="2">
    <w:abstractNumId w:val="16"/>
  </w:num>
  <w:num w:numId="3">
    <w:abstractNumId w:val="17"/>
  </w:num>
  <w:num w:numId="4">
    <w:abstractNumId w:val="11"/>
  </w:num>
  <w:num w:numId="5">
    <w:abstractNumId w:val="9"/>
  </w:num>
  <w:num w:numId="6">
    <w:abstractNumId w:val="8"/>
  </w:num>
  <w:num w:numId="7">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0"/>
  </w:num>
  <w:num w:numId="11">
    <w:abstractNumId w:val="18"/>
  </w:num>
  <w:num w:numId="12">
    <w:abstractNumId w:val="23"/>
  </w:num>
  <w:num w:numId="13">
    <w:abstractNumId w:val="3"/>
  </w:num>
  <w:num w:numId="14">
    <w:abstractNumId w:val="1"/>
  </w:num>
  <w:num w:numId="15">
    <w:abstractNumId w:val="19"/>
  </w:num>
  <w:num w:numId="16">
    <w:abstractNumId w:val="0"/>
  </w:num>
  <w:num w:numId="17">
    <w:abstractNumId w:val="24"/>
  </w:num>
  <w:num w:numId="18">
    <w:abstractNumId w:val="5"/>
  </w:num>
  <w:num w:numId="19">
    <w:abstractNumId w:val="4"/>
  </w:num>
  <w:num w:numId="20">
    <w:abstractNumId w:val="6"/>
  </w:num>
  <w:num w:numId="21">
    <w:abstractNumId w:val="20"/>
  </w:num>
  <w:num w:numId="22">
    <w:abstractNumId w:val="2"/>
  </w:num>
  <w:num w:numId="23">
    <w:abstractNumId w:val="7"/>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footnotePr>
    <w:footnote w:id="2"/>
    <w:footnote w:id="3"/>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OGJmZjk5ZGUzMDZjOGZkNDEyNjJhYjI3NmM2OTUifQ=="/>
    <w:docVar w:name="KSO_WPS_MARK_KEY" w:val="1e0fafc7-c7b0-4f20-a2fe-a2dc10324b49"/>
  </w:docVars>
  <w:rsids>
    <w:rsidRoot w:val="00E90E7B"/>
    <w:rsid w:val="0000241B"/>
    <w:rsid w:val="000027EE"/>
    <w:rsid w:val="00003049"/>
    <w:rsid w:val="00003265"/>
    <w:rsid w:val="00005BE6"/>
    <w:rsid w:val="000119AB"/>
    <w:rsid w:val="000122C3"/>
    <w:rsid w:val="00013147"/>
    <w:rsid w:val="000148AC"/>
    <w:rsid w:val="00015405"/>
    <w:rsid w:val="000166A1"/>
    <w:rsid w:val="000256D4"/>
    <w:rsid w:val="0002624A"/>
    <w:rsid w:val="0003048B"/>
    <w:rsid w:val="00031C09"/>
    <w:rsid w:val="00031D79"/>
    <w:rsid w:val="00034897"/>
    <w:rsid w:val="00034956"/>
    <w:rsid w:val="00036302"/>
    <w:rsid w:val="0003713A"/>
    <w:rsid w:val="00037EC6"/>
    <w:rsid w:val="00041051"/>
    <w:rsid w:val="0004160C"/>
    <w:rsid w:val="00045E08"/>
    <w:rsid w:val="000469AF"/>
    <w:rsid w:val="000479C9"/>
    <w:rsid w:val="00051783"/>
    <w:rsid w:val="00051AE4"/>
    <w:rsid w:val="00051F8B"/>
    <w:rsid w:val="00052C50"/>
    <w:rsid w:val="00052CD8"/>
    <w:rsid w:val="00054CC7"/>
    <w:rsid w:val="000558FA"/>
    <w:rsid w:val="0005748E"/>
    <w:rsid w:val="000606CB"/>
    <w:rsid w:val="00064518"/>
    <w:rsid w:val="00073CCF"/>
    <w:rsid w:val="00077AD4"/>
    <w:rsid w:val="000801AB"/>
    <w:rsid w:val="0008165F"/>
    <w:rsid w:val="0008211B"/>
    <w:rsid w:val="00082AC1"/>
    <w:rsid w:val="00084D11"/>
    <w:rsid w:val="00086B7B"/>
    <w:rsid w:val="00087A18"/>
    <w:rsid w:val="00093613"/>
    <w:rsid w:val="0009371A"/>
    <w:rsid w:val="00094BDF"/>
    <w:rsid w:val="0009573B"/>
    <w:rsid w:val="00095BA5"/>
    <w:rsid w:val="00097388"/>
    <w:rsid w:val="00097A76"/>
    <w:rsid w:val="000A0A94"/>
    <w:rsid w:val="000A31B6"/>
    <w:rsid w:val="000A5A9F"/>
    <w:rsid w:val="000B0F17"/>
    <w:rsid w:val="000B26A2"/>
    <w:rsid w:val="000B3C8B"/>
    <w:rsid w:val="000B431A"/>
    <w:rsid w:val="000B4922"/>
    <w:rsid w:val="000B5FE3"/>
    <w:rsid w:val="000B63AA"/>
    <w:rsid w:val="000C0567"/>
    <w:rsid w:val="000C2515"/>
    <w:rsid w:val="000C27D5"/>
    <w:rsid w:val="000C2893"/>
    <w:rsid w:val="000C3694"/>
    <w:rsid w:val="000C5DAC"/>
    <w:rsid w:val="000C6194"/>
    <w:rsid w:val="000C7304"/>
    <w:rsid w:val="000C7FB5"/>
    <w:rsid w:val="000D0E23"/>
    <w:rsid w:val="000D205E"/>
    <w:rsid w:val="000D26FF"/>
    <w:rsid w:val="000D30F5"/>
    <w:rsid w:val="000D35D7"/>
    <w:rsid w:val="000D3738"/>
    <w:rsid w:val="000D577F"/>
    <w:rsid w:val="000D68D5"/>
    <w:rsid w:val="000E0BB7"/>
    <w:rsid w:val="000E4AC7"/>
    <w:rsid w:val="000E5500"/>
    <w:rsid w:val="000F2A48"/>
    <w:rsid w:val="000F31A0"/>
    <w:rsid w:val="000F324E"/>
    <w:rsid w:val="000F3C75"/>
    <w:rsid w:val="000F53C8"/>
    <w:rsid w:val="000F53DE"/>
    <w:rsid w:val="000F5F7D"/>
    <w:rsid w:val="000F7D59"/>
    <w:rsid w:val="001003B6"/>
    <w:rsid w:val="0010047A"/>
    <w:rsid w:val="001012B6"/>
    <w:rsid w:val="00103D14"/>
    <w:rsid w:val="001050C8"/>
    <w:rsid w:val="00105C33"/>
    <w:rsid w:val="001072EC"/>
    <w:rsid w:val="00110B43"/>
    <w:rsid w:val="00113119"/>
    <w:rsid w:val="00113F03"/>
    <w:rsid w:val="00115147"/>
    <w:rsid w:val="00115F37"/>
    <w:rsid w:val="00115F42"/>
    <w:rsid w:val="001167F5"/>
    <w:rsid w:val="001169C1"/>
    <w:rsid w:val="00126D8D"/>
    <w:rsid w:val="0013027C"/>
    <w:rsid w:val="00131525"/>
    <w:rsid w:val="00132766"/>
    <w:rsid w:val="001338E0"/>
    <w:rsid w:val="00133C9F"/>
    <w:rsid w:val="00137320"/>
    <w:rsid w:val="00140B4A"/>
    <w:rsid w:val="001433EA"/>
    <w:rsid w:val="001436AC"/>
    <w:rsid w:val="00146BB3"/>
    <w:rsid w:val="00146BBF"/>
    <w:rsid w:val="0014721F"/>
    <w:rsid w:val="001477EA"/>
    <w:rsid w:val="00150E7F"/>
    <w:rsid w:val="00153D67"/>
    <w:rsid w:val="00153F9F"/>
    <w:rsid w:val="0015442D"/>
    <w:rsid w:val="001546DA"/>
    <w:rsid w:val="001564EB"/>
    <w:rsid w:val="00157204"/>
    <w:rsid w:val="001607BB"/>
    <w:rsid w:val="0016220F"/>
    <w:rsid w:val="001644A5"/>
    <w:rsid w:val="001656A2"/>
    <w:rsid w:val="00166C3A"/>
    <w:rsid w:val="00171F77"/>
    <w:rsid w:val="00173237"/>
    <w:rsid w:val="00175AE6"/>
    <w:rsid w:val="00177AF1"/>
    <w:rsid w:val="00177ED8"/>
    <w:rsid w:val="001837C4"/>
    <w:rsid w:val="0018491F"/>
    <w:rsid w:val="00187624"/>
    <w:rsid w:val="00187B8D"/>
    <w:rsid w:val="00190CE9"/>
    <w:rsid w:val="00191EB3"/>
    <w:rsid w:val="001924FE"/>
    <w:rsid w:val="001A04AC"/>
    <w:rsid w:val="001A0C2A"/>
    <w:rsid w:val="001A0C82"/>
    <w:rsid w:val="001A6D0F"/>
    <w:rsid w:val="001B05E0"/>
    <w:rsid w:val="001B280D"/>
    <w:rsid w:val="001B5036"/>
    <w:rsid w:val="001B50F3"/>
    <w:rsid w:val="001C00ED"/>
    <w:rsid w:val="001C3294"/>
    <w:rsid w:val="001C6C46"/>
    <w:rsid w:val="001C6C71"/>
    <w:rsid w:val="001C7612"/>
    <w:rsid w:val="001D1525"/>
    <w:rsid w:val="001D42DD"/>
    <w:rsid w:val="001D51BC"/>
    <w:rsid w:val="001D553C"/>
    <w:rsid w:val="001D7C90"/>
    <w:rsid w:val="001E1504"/>
    <w:rsid w:val="001E376E"/>
    <w:rsid w:val="001E3A81"/>
    <w:rsid w:val="001E431D"/>
    <w:rsid w:val="001E7345"/>
    <w:rsid w:val="001F58A2"/>
    <w:rsid w:val="001F6380"/>
    <w:rsid w:val="002001D1"/>
    <w:rsid w:val="00203430"/>
    <w:rsid w:val="00206534"/>
    <w:rsid w:val="00206562"/>
    <w:rsid w:val="002071A6"/>
    <w:rsid w:val="00213C12"/>
    <w:rsid w:val="0021716C"/>
    <w:rsid w:val="002230FF"/>
    <w:rsid w:val="0022345F"/>
    <w:rsid w:val="00224937"/>
    <w:rsid w:val="00225D02"/>
    <w:rsid w:val="00226060"/>
    <w:rsid w:val="002320B8"/>
    <w:rsid w:val="00232FEF"/>
    <w:rsid w:val="00232FF3"/>
    <w:rsid w:val="0023336E"/>
    <w:rsid w:val="0023470D"/>
    <w:rsid w:val="00235F18"/>
    <w:rsid w:val="00236000"/>
    <w:rsid w:val="00237E60"/>
    <w:rsid w:val="00240CE5"/>
    <w:rsid w:val="00241E44"/>
    <w:rsid w:val="002423FD"/>
    <w:rsid w:val="00245498"/>
    <w:rsid w:val="00252010"/>
    <w:rsid w:val="00252D20"/>
    <w:rsid w:val="00253D10"/>
    <w:rsid w:val="00253F1A"/>
    <w:rsid w:val="002553BD"/>
    <w:rsid w:val="00256CF3"/>
    <w:rsid w:val="002571E3"/>
    <w:rsid w:val="0026008A"/>
    <w:rsid w:val="00261B28"/>
    <w:rsid w:val="00261D26"/>
    <w:rsid w:val="002624D8"/>
    <w:rsid w:val="00262FB8"/>
    <w:rsid w:val="002631EE"/>
    <w:rsid w:val="002635F6"/>
    <w:rsid w:val="002642E6"/>
    <w:rsid w:val="00270BF9"/>
    <w:rsid w:val="0027641B"/>
    <w:rsid w:val="00276619"/>
    <w:rsid w:val="0027742F"/>
    <w:rsid w:val="0029152A"/>
    <w:rsid w:val="00291704"/>
    <w:rsid w:val="002931A4"/>
    <w:rsid w:val="00293DB1"/>
    <w:rsid w:val="00297086"/>
    <w:rsid w:val="002972DB"/>
    <w:rsid w:val="00297887"/>
    <w:rsid w:val="002A00A1"/>
    <w:rsid w:val="002A68EF"/>
    <w:rsid w:val="002A7CA5"/>
    <w:rsid w:val="002B090F"/>
    <w:rsid w:val="002B14FB"/>
    <w:rsid w:val="002B4CCC"/>
    <w:rsid w:val="002B4E04"/>
    <w:rsid w:val="002B588D"/>
    <w:rsid w:val="002B6CFB"/>
    <w:rsid w:val="002B6D77"/>
    <w:rsid w:val="002C10ED"/>
    <w:rsid w:val="002C1EFB"/>
    <w:rsid w:val="002C2D68"/>
    <w:rsid w:val="002C318C"/>
    <w:rsid w:val="002C3978"/>
    <w:rsid w:val="002D1344"/>
    <w:rsid w:val="002D381F"/>
    <w:rsid w:val="002D41F2"/>
    <w:rsid w:val="002D55A1"/>
    <w:rsid w:val="002D58C2"/>
    <w:rsid w:val="002D7692"/>
    <w:rsid w:val="002D7843"/>
    <w:rsid w:val="002E098A"/>
    <w:rsid w:val="002E1B43"/>
    <w:rsid w:val="002E41E6"/>
    <w:rsid w:val="002E6323"/>
    <w:rsid w:val="002E7979"/>
    <w:rsid w:val="002E79EA"/>
    <w:rsid w:val="002F0533"/>
    <w:rsid w:val="002F6F17"/>
    <w:rsid w:val="002F755F"/>
    <w:rsid w:val="002F7AAD"/>
    <w:rsid w:val="00303B22"/>
    <w:rsid w:val="00303E7D"/>
    <w:rsid w:val="00304AAE"/>
    <w:rsid w:val="003052C6"/>
    <w:rsid w:val="0030572F"/>
    <w:rsid w:val="003069A0"/>
    <w:rsid w:val="00306CB9"/>
    <w:rsid w:val="00310029"/>
    <w:rsid w:val="00310EED"/>
    <w:rsid w:val="00311433"/>
    <w:rsid w:val="003143F4"/>
    <w:rsid w:val="00314675"/>
    <w:rsid w:val="00315AD2"/>
    <w:rsid w:val="00316FA9"/>
    <w:rsid w:val="003207AF"/>
    <w:rsid w:val="00322E4C"/>
    <w:rsid w:val="00322FAA"/>
    <w:rsid w:val="00324EDF"/>
    <w:rsid w:val="0032786B"/>
    <w:rsid w:val="00327E4A"/>
    <w:rsid w:val="00332456"/>
    <w:rsid w:val="0033265D"/>
    <w:rsid w:val="0033391D"/>
    <w:rsid w:val="00333E11"/>
    <w:rsid w:val="00334D0D"/>
    <w:rsid w:val="00335361"/>
    <w:rsid w:val="0033604E"/>
    <w:rsid w:val="0034244E"/>
    <w:rsid w:val="003429D5"/>
    <w:rsid w:val="00343607"/>
    <w:rsid w:val="003452E3"/>
    <w:rsid w:val="0034620E"/>
    <w:rsid w:val="003463DA"/>
    <w:rsid w:val="0034792C"/>
    <w:rsid w:val="003503DF"/>
    <w:rsid w:val="00350FD2"/>
    <w:rsid w:val="00352A76"/>
    <w:rsid w:val="00353B9B"/>
    <w:rsid w:val="00354B35"/>
    <w:rsid w:val="003553AE"/>
    <w:rsid w:val="0035558F"/>
    <w:rsid w:val="003557EA"/>
    <w:rsid w:val="003613D4"/>
    <w:rsid w:val="003618C8"/>
    <w:rsid w:val="00363610"/>
    <w:rsid w:val="003638DC"/>
    <w:rsid w:val="00367894"/>
    <w:rsid w:val="00367A2E"/>
    <w:rsid w:val="00370C78"/>
    <w:rsid w:val="00371727"/>
    <w:rsid w:val="003717B9"/>
    <w:rsid w:val="00371F1E"/>
    <w:rsid w:val="003725AA"/>
    <w:rsid w:val="00372998"/>
    <w:rsid w:val="003731DA"/>
    <w:rsid w:val="00373C24"/>
    <w:rsid w:val="00381CA3"/>
    <w:rsid w:val="00383716"/>
    <w:rsid w:val="00387F6A"/>
    <w:rsid w:val="003907A0"/>
    <w:rsid w:val="003A2BA8"/>
    <w:rsid w:val="003A427D"/>
    <w:rsid w:val="003A4F1C"/>
    <w:rsid w:val="003A7E54"/>
    <w:rsid w:val="003B54AE"/>
    <w:rsid w:val="003B7251"/>
    <w:rsid w:val="003B746F"/>
    <w:rsid w:val="003C10BB"/>
    <w:rsid w:val="003C2CBD"/>
    <w:rsid w:val="003C5DEB"/>
    <w:rsid w:val="003C6175"/>
    <w:rsid w:val="003D1348"/>
    <w:rsid w:val="003D23F3"/>
    <w:rsid w:val="003D3CD3"/>
    <w:rsid w:val="003E245F"/>
    <w:rsid w:val="003E45C5"/>
    <w:rsid w:val="003E4770"/>
    <w:rsid w:val="003E665B"/>
    <w:rsid w:val="003E67C4"/>
    <w:rsid w:val="003F0F67"/>
    <w:rsid w:val="003F1F60"/>
    <w:rsid w:val="003F1FAD"/>
    <w:rsid w:val="003F2737"/>
    <w:rsid w:val="003F290C"/>
    <w:rsid w:val="003F555F"/>
    <w:rsid w:val="00406832"/>
    <w:rsid w:val="00407653"/>
    <w:rsid w:val="00407FC7"/>
    <w:rsid w:val="00411981"/>
    <w:rsid w:val="0041683A"/>
    <w:rsid w:val="00417024"/>
    <w:rsid w:val="0041729C"/>
    <w:rsid w:val="004173B2"/>
    <w:rsid w:val="00417B1F"/>
    <w:rsid w:val="00424858"/>
    <w:rsid w:val="00425696"/>
    <w:rsid w:val="00427125"/>
    <w:rsid w:val="0043018C"/>
    <w:rsid w:val="00430AB3"/>
    <w:rsid w:val="00433143"/>
    <w:rsid w:val="00434D13"/>
    <w:rsid w:val="00440103"/>
    <w:rsid w:val="00443C7B"/>
    <w:rsid w:val="0044418D"/>
    <w:rsid w:val="004442FC"/>
    <w:rsid w:val="004458F0"/>
    <w:rsid w:val="00447617"/>
    <w:rsid w:val="004514DF"/>
    <w:rsid w:val="00454AA5"/>
    <w:rsid w:val="00455EC5"/>
    <w:rsid w:val="00457C43"/>
    <w:rsid w:val="004607C4"/>
    <w:rsid w:val="004611E0"/>
    <w:rsid w:val="004677E3"/>
    <w:rsid w:val="00467E30"/>
    <w:rsid w:val="004701B3"/>
    <w:rsid w:val="00472FA3"/>
    <w:rsid w:val="0047754F"/>
    <w:rsid w:val="0047797A"/>
    <w:rsid w:val="004802AF"/>
    <w:rsid w:val="00480DA0"/>
    <w:rsid w:val="00484026"/>
    <w:rsid w:val="004844F8"/>
    <w:rsid w:val="00484750"/>
    <w:rsid w:val="00485398"/>
    <w:rsid w:val="004854E3"/>
    <w:rsid w:val="004865D3"/>
    <w:rsid w:val="00492B93"/>
    <w:rsid w:val="00493541"/>
    <w:rsid w:val="00494B75"/>
    <w:rsid w:val="00495DA3"/>
    <w:rsid w:val="004A1F10"/>
    <w:rsid w:val="004A3B50"/>
    <w:rsid w:val="004A3B81"/>
    <w:rsid w:val="004A43D8"/>
    <w:rsid w:val="004A609B"/>
    <w:rsid w:val="004A66D9"/>
    <w:rsid w:val="004B1E24"/>
    <w:rsid w:val="004B24A2"/>
    <w:rsid w:val="004B7431"/>
    <w:rsid w:val="004C13F2"/>
    <w:rsid w:val="004C4F00"/>
    <w:rsid w:val="004C5752"/>
    <w:rsid w:val="004C78E4"/>
    <w:rsid w:val="004D19E9"/>
    <w:rsid w:val="004D3218"/>
    <w:rsid w:val="004D40FE"/>
    <w:rsid w:val="004D46A2"/>
    <w:rsid w:val="004D5029"/>
    <w:rsid w:val="004D6CA7"/>
    <w:rsid w:val="004D7FEC"/>
    <w:rsid w:val="004E001C"/>
    <w:rsid w:val="004E2154"/>
    <w:rsid w:val="004E260F"/>
    <w:rsid w:val="004E2C85"/>
    <w:rsid w:val="004E36F9"/>
    <w:rsid w:val="004E3DEC"/>
    <w:rsid w:val="004E4256"/>
    <w:rsid w:val="004E79F9"/>
    <w:rsid w:val="004F06AA"/>
    <w:rsid w:val="004F17AC"/>
    <w:rsid w:val="004F314A"/>
    <w:rsid w:val="004F6C26"/>
    <w:rsid w:val="004F6E1F"/>
    <w:rsid w:val="004F6F08"/>
    <w:rsid w:val="004F7FDF"/>
    <w:rsid w:val="00500557"/>
    <w:rsid w:val="0050119B"/>
    <w:rsid w:val="00504995"/>
    <w:rsid w:val="0051090B"/>
    <w:rsid w:val="00510C91"/>
    <w:rsid w:val="00511278"/>
    <w:rsid w:val="00515001"/>
    <w:rsid w:val="00515C76"/>
    <w:rsid w:val="00521874"/>
    <w:rsid w:val="00525D63"/>
    <w:rsid w:val="00527039"/>
    <w:rsid w:val="00527A2D"/>
    <w:rsid w:val="005302E5"/>
    <w:rsid w:val="00530AA3"/>
    <w:rsid w:val="005314BA"/>
    <w:rsid w:val="00531C1B"/>
    <w:rsid w:val="0053218B"/>
    <w:rsid w:val="0053348E"/>
    <w:rsid w:val="00533646"/>
    <w:rsid w:val="00535C33"/>
    <w:rsid w:val="00535D03"/>
    <w:rsid w:val="00541F96"/>
    <w:rsid w:val="00547238"/>
    <w:rsid w:val="00550D0F"/>
    <w:rsid w:val="0055339F"/>
    <w:rsid w:val="005536AF"/>
    <w:rsid w:val="00555CE8"/>
    <w:rsid w:val="00557241"/>
    <w:rsid w:val="00557A21"/>
    <w:rsid w:val="00560CDA"/>
    <w:rsid w:val="00560CED"/>
    <w:rsid w:val="005631B0"/>
    <w:rsid w:val="00563555"/>
    <w:rsid w:val="00565147"/>
    <w:rsid w:val="005655D5"/>
    <w:rsid w:val="00565EB3"/>
    <w:rsid w:val="00567698"/>
    <w:rsid w:val="00571788"/>
    <w:rsid w:val="005738F7"/>
    <w:rsid w:val="00574BB8"/>
    <w:rsid w:val="0057514F"/>
    <w:rsid w:val="00575A1D"/>
    <w:rsid w:val="0058058D"/>
    <w:rsid w:val="005807AE"/>
    <w:rsid w:val="0058170F"/>
    <w:rsid w:val="00585FDB"/>
    <w:rsid w:val="0058630D"/>
    <w:rsid w:val="005879C6"/>
    <w:rsid w:val="00590726"/>
    <w:rsid w:val="0059180A"/>
    <w:rsid w:val="00592A7C"/>
    <w:rsid w:val="005A0286"/>
    <w:rsid w:val="005A1E99"/>
    <w:rsid w:val="005A23BB"/>
    <w:rsid w:val="005A5023"/>
    <w:rsid w:val="005A600F"/>
    <w:rsid w:val="005B067D"/>
    <w:rsid w:val="005B0F52"/>
    <w:rsid w:val="005B46A4"/>
    <w:rsid w:val="005B49BE"/>
    <w:rsid w:val="005B4C5D"/>
    <w:rsid w:val="005B6FE9"/>
    <w:rsid w:val="005B757E"/>
    <w:rsid w:val="005C33AE"/>
    <w:rsid w:val="005C687B"/>
    <w:rsid w:val="005C7CD6"/>
    <w:rsid w:val="005D05B5"/>
    <w:rsid w:val="005D404C"/>
    <w:rsid w:val="005D479F"/>
    <w:rsid w:val="005D47F3"/>
    <w:rsid w:val="005D7441"/>
    <w:rsid w:val="005E04D6"/>
    <w:rsid w:val="005E08BB"/>
    <w:rsid w:val="005E4004"/>
    <w:rsid w:val="005E7CBB"/>
    <w:rsid w:val="005F1D54"/>
    <w:rsid w:val="005F3CAA"/>
    <w:rsid w:val="005F44F8"/>
    <w:rsid w:val="005F4FE5"/>
    <w:rsid w:val="005F6562"/>
    <w:rsid w:val="0060317F"/>
    <w:rsid w:val="00603BE1"/>
    <w:rsid w:val="00605A1F"/>
    <w:rsid w:val="0060654C"/>
    <w:rsid w:val="00611314"/>
    <w:rsid w:val="00614AD3"/>
    <w:rsid w:val="00614DEB"/>
    <w:rsid w:val="006159DF"/>
    <w:rsid w:val="00620CA0"/>
    <w:rsid w:val="006233DB"/>
    <w:rsid w:val="00624B35"/>
    <w:rsid w:val="00624C2E"/>
    <w:rsid w:val="006279AE"/>
    <w:rsid w:val="006307B7"/>
    <w:rsid w:val="00637744"/>
    <w:rsid w:val="00637A23"/>
    <w:rsid w:val="006442D5"/>
    <w:rsid w:val="006448AC"/>
    <w:rsid w:val="0064598E"/>
    <w:rsid w:val="006464F3"/>
    <w:rsid w:val="00647802"/>
    <w:rsid w:val="00647EBC"/>
    <w:rsid w:val="006504C0"/>
    <w:rsid w:val="0065150C"/>
    <w:rsid w:val="00651E01"/>
    <w:rsid w:val="0065331C"/>
    <w:rsid w:val="006545DA"/>
    <w:rsid w:val="00654725"/>
    <w:rsid w:val="00655C2F"/>
    <w:rsid w:val="00655E17"/>
    <w:rsid w:val="00655F92"/>
    <w:rsid w:val="006566A4"/>
    <w:rsid w:val="00660018"/>
    <w:rsid w:val="006615E4"/>
    <w:rsid w:val="00661F1C"/>
    <w:rsid w:val="00662F19"/>
    <w:rsid w:val="00662F81"/>
    <w:rsid w:val="006636D5"/>
    <w:rsid w:val="00667CC2"/>
    <w:rsid w:val="0067444A"/>
    <w:rsid w:val="0068505B"/>
    <w:rsid w:val="00685EC5"/>
    <w:rsid w:val="00687208"/>
    <w:rsid w:val="0069071C"/>
    <w:rsid w:val="0069111F"/>
    <w:rsid w:val="00694C1D"/>
    <w:rsid w:val="0069632D"/>
    <w:rsid w:val="006A0404"/>
    <w:rsid w:val="006A1738"/>
    <w:rsid w:val="006A4F89"/>
    <w:rsid w:val="006A5783"/>
    <w:rsid w:val="006A6CC1"/>
    <w:rsid w:val="006A79B5"/>
    <w:rsid w:val="006B001C"/>
    <w:rsid w:val="006B042C"/>
    <w:rsid w:val="006B225B"/>
    <w:rsid w:val="006B4C1A"/>
    <w:rsid w:val="006B5113"/>
    <w:rsid w:val="006B5424"/>
    <w:rsid w:val="006B5AF3"/>
    <w:rsid w:val="006B67B5"/>
    <w:rsid w:val="006C0DCF"/>
    <w:rsid w:val="006C2A85"/>
    <w:rsid w:val="006C30E3"/>
    <w:rsid w:val="006C327A"/>
    <w:rsid w:val="006C4649"/>
    <w:rsid w:val="006C4A60"/>
    <w:rsid w:val="006C631D"/>
    <w:rsid w:val="006D111A"/>
    <w:rsid w:val="006D2CAF"/>
    <w:rsid w:val="006D5E09"/>
    <w:rsid w:val="006D72EF"/>
    <w:rsid w:val="006D7F8C"/>
    <w:rsid w:val="006E1875"/>
    <w:rsid w:val="006E2770"/>
    <w:rsid w:val="006E4BE7"/>
    <w:rsid w:val="006E4DBB"/>
    <w:rsid w:val="006E5EC3"/>
    <w:rsid w:val="006E60BC"/>
    <w:rsid w:val="006E7895"/>
    <w:rsid w:val="006F09E1"/>
    <w:rsid w:val="006F49C0"/>
    <w:rsid w:val="006F5CF0"/>
    <w:rsid w:val="006F639B"/>
    <w:rsid w:val="006F7B80"/>
    <w:rsid w:val="007003D8"/>
    <w:rsid w:val="00701D2F"/>
    <w:rsid w:val="007026EA"/>
    <w:rsid w:val="00703214"/>
    <w:rsid w:val="00710060"/>
    <w:rsid w:val="00711C32"/>
    <w:rsid w:val="00712C82"/>
    <w:rsid w:val="0071455D"/>
    <w:rsid w:val="00722F88"/>
    <w:rsid w:val="00723880"/>
    <w:rsid w:val="0072390C"/>
    <w:rsid w:val="007258D6"/>
    <w:rsid w:val="00726B55"/>
    <w:rsid w:val="00727AED"/>
    <w:rsid w:val="00730D60"/>
    <w:rsid w:val="00730F37"/>
    <w:rsid w:val="00732208"/>
    <w:rsid w:val="0073249E"/>
    <w:rsid w:val="0073353E"/>
    <w:rsid w:val="00733849"/>
    <w:rsid w:val="007353BE"/>
    <w:rsid w:val="007354CC"/>
    <w:rsid w:val="007372C1"/>
    <w:rsid w:val="007379B0"/>
    <w:rsid w:val="00741BE7"/>
    <w:rsid w:val="00743E10"/>
    <w:rsid w:val="00744534"/>
    <w:rsid w:val="00745B66"/>
    <w:rsid w:val="00745BE9"/>
    <w:rsid w:val="00746A1F"/>
    <w:rsid w:val="00746D99"/>
    <w:rsid w:val="0074775B"/>
    <w:rsid w:val="00750A39"/>
    <w:rsid w:val="0075143A"/>
    <w:rsid w:val="007526E7"/>
    <w:rsid w:val="0075305C"/>
    <w:rsid w:val="00756750"/>
    <w:rsid w:val="007579F5"/>
    <w:rsid w:val="00762B55"/>
    <w:rsid w:val="00770B3E"/>
    <w:rsid w:val="00771CC1"/>
    <w:rsid w:val="00772A90"/>
    <w:rsid w:val="00773EF7"/>
    <w:rsid w:val="00777A52"/>
    <w:rsid w:val="00777F7B"/>
    <w:rsid w:val="007808B6"/>
    <w:rsid w:val="0078133E"/>
    <w:rsid w:val="00781E1D"/>
    <w:rsid w:val="0078210B"/>
    <w:rsid w:val="00782215"/>
    <w:rsid w:val="00782788"/>
    <w:rsid w:val="00784B3A"/>
    <w:rsid w:val="00784B81"/>
    <w:rsid w:val="00784DE9"/>
    <w:rsid w:val="00792F1E"/>
    <w:rsid w:val="00795741"/>
    <w:rsid w:val="007A090A"/>
    <w:rsid w:val="007A0E7D"/>
    <w:rsid w:val="007A4466"/>
    <w:rsid w:val="007A5CC8"/>
    <w:rsid w:val="007A6277"/>
    <w:rsid w:val="007A6558"/>
    <w:rsid w:val="007A774C"/>
    <w:rsid w:val="007B2F12"/>
    <w:rsid w:val="007B5BC8"/>
    <w:rsid w:val="007B707A"/>
    <w:rsid w:val="007C20A2"/>
    <w:rsid w:val="007C29BD"/>
    <w:rsid w:val="007C56E1"/>
    <w:rsid w:val="007C7856"/>
    <w:rsid w:val="007D0227"/>
    <w:rsid w:val="007D1753"/>
    <w:rsid w:val="007D2302"/>
    <w:rsid w:val="007D2A47"/>
    <w:rsid w:val="007D588E"/>
    <w:rsid w:val="007E09DA"/>
    <w:rsid w:val="007E0EFD"/>
    <w:rsid w:val="007E1F8B"/>
    <w:rsid w:val="007E4E1D"/>
    <w:rsid w:val="007E7651"/>
    <w:rsid w:val="007F1970"/>
    <w:rsid w:val="007F2394"/>
    <w:rsid w:val="007F35D6"/>
    <w:rsid w:val="007F537B"/>
    <w:rsid w:val="007F6660"/>
    <w:rsid w:val="00800A17"/>
    <w:rsid w:val="00800AA0"/>
    <w:rsid w:val="0080414C"/>
    <w:rsid w:val="00812040"/>
    <w:rsid w:val="0082038F"/>
    <w:rsid w:val="00820C74"/>
    <w:rsid w:val="0082268B"/>
    <w:rsid w:val="00823A43"/>
    <w:rsid w:val="00825DFB"/>
    <w:rsid w:val="00826190"/>
    <w:rsid w:val="00827A6A"/>
    <w:rsid w:val="00827C36"/>
    <w:rsid w:val="00831E0C"/>
    <w:rsid w:val="008337EC"/>
    <w:rsid w:val="00835963"/>
    <w:rsid w:val="008366B0"/>
    <w:rsid w:val="00842EDF"/>
    <w:rsid w:val="00844004"/>
    <w:rsid w:val="00845EA7"/>
    <w:rsid w:val="008478B1"/>
    <w:rsid w:val="00847F93"/>
    <w:rsid w:val="008513F5"/>
    <w:rsid w:val="0085170D"/>
    <w:rsid w:val="00852A16"/>
    <w:rsid w:val="00853077"/>
    <w:rsid w:val="0085352B"/>
    <w:rsid w:val="00853767"/>
    <w:rsid w:val="008555AC"/>
    <w:rsid w:val="008564FC"/>
    <w:rsid w:val="00857341"/>
    <w:rsid w:val="00863601"/>
    <w:rsid w:val="0086491B"/>
    <w:rsid w:val="008653AA"/>
    <w:rsid w:val="00865BF3"/>
    <w:rsid w:val="00865EA6"/>
    <w:rsid w:val="00866965"/>
    <w:rsid w:val="00866AAA"/>
    <w:rsid w:val="00867711"/>
    <w:rsid w:val="00870D29"/>
    <w:rsid w:val="008744FD"/>
    <w:rsid w:val="0087462A"/>
    <w:rsid w:val="0088016B"/>
    <w:rsid w:val="00881D4E"/>
    <w:rsid w:val="00881E1B"/>
    <w:rsid w:val="008828A3"/>
    <w:rsid w:val="00882C1C"/>
    <w:rsid w:val="00883921"/>
    <w:rsid w:val="00886ACF"/>
    <w:rsid w:val="008926B0"/>
    <w:rsid w:val="00892CA3"/>
    <w:rsid w:val="00893EF3"/>
    <w:rsid w:val="008A1FFD"/>
    <w:rsid w:val="008A7403"/>
    <w:rsid w:val="008A7523"/>
    <w:rsid w:val="008B04B6"/>
    <w:rsid w:val="008B1BEF"/>
    <w:rsid w:val="008B5545"/>
    <w:rsid w:val="008B587C"/>
    <w:rsid w:val="008B7840"/>
    <w:rsid w:val="008C1A25"/>
    <w:rsid w:val="008C5D3D"/>
    <w:rsid w:val="008C65B0"/>
    <w:rsid w:val="008D3F9D"/>
    <w:rsid w:val="008E024E"/>
    <w:rsid w:val="008E49CB"/>
    <w:rsid w:val="008E52E2"/>
    <w:rsid w:val="008E6874"/>
    <w:rsid w:val="008F036E"/>
    <w:rsid w:val="008F1D2D"/>
    <w:rsid w:val="008F3245"/>
    <w:rsid w:val="008F4251"/>
    <w:rsid w:val="008F4834"/>
    <w:rsid w:val="008F5FE1"/>
    <w:rsid w:val="008F73AA"/>
    <w:rsid w:val="00901C2E"/>
    <w:rsid w:val="00904981"/>
    <w:rsid w:val="009108E4"/>
    <w:rsid w:val="0091104E"/>
    <w:rsid w:val="00915179"/>
    <w:rsid w:val="00916F25"/>
    <w:rsid w:val="00916FB2"/>
    <w:rsid w:val="00921369"/>
    <w:rsid w:val="0092558F"/>
    <w:rsid w:val="00925A27"/>
    <w:rsid w:val="009329F4"/>
    <w:rsid w:val="009337A8"/>
    <w:rsid w:val="00937411"/>
    <w:rsid w:val="009400EF"/>
    <w:rsid w:val="00940149"/>
    <w:rsid w:val="009411B1"/>
    <w:rsid w:val="0094157B"/>
    <w:rsid w:val="009416F8"/>
    <w:rsid w:val="00942BA8"/>
    <w:rsid w:val="00942D78"/>
    <w:rsid w:val="009434A5"/>
    <w:rsid w:val="009442A3"/>
    <w:rsid w:val="00944512"/>
    <w:rsid w:val="0094489E"/>
    <w:rsid w:val="00945431"/>
    <w:rsid w:val="009455D8"/>
    <w:rsid w:val="0095015E"/>
    <w:rsid w:val="0095176B"/>
    <w:rsid w:val="00953124"/>
    <w:rsid w:val="00953F1F"/>
    <w:rsid w:val="009548C6"/>
    <w:rsid w:val="0095505C"/>
    <w:rsid w:val="009564F1"/>
    <w:rsid w:val="00957309"/>
    <w:rsid w:val="00960960"/>
    <w:rsid w:val="00961651"/>
    <w:rsid w:val="00961CF6"/>
    <w:rsid w:val="00970BB8"/>
    <w:rsid w:val="00973F9B"/>
    <w:rsid w:val="00981E59"/>
    <w:rsid w:val="009823DC"/>
    <w:rsid w:val="009826E6"/>
    <w:rsid w:val="009843FE"/>
    <w:rsid w:val="00984731"/>
    <w:rsid w:val="0098588D"/>
    <w:rsid w:val="00986938"/>
    <w:rsid w:val="00990B08"/>
    <w:rsid w:val="0099152C"/>
    <w:rsid w:val="009933A9"/>
    <w:rsid w:val="009957B9"/>
    <w:rsid w:val="00996973"/>
    <w:rsid w:val="009A0BCE"/>
    <w:rsid w:val="009A0D23"/>
    <w:rsid w:val="009A1462"/>
    <w:rsid w:val="009A2803"/>
    <w:rsid w:val="009A4DEA"/>
    <w:rsid w:val="009A58F3"/>
    <w:rsid w:val="009A5F67"/>
    <w:rsid w:val="009B0503"/>
    <w:rsid w:val="009B6801"/>
    <w:rsid w:val="009B7779"/>
    <w:rsid w:val="009C0D37"/>
    <w:rsid w:val="009C1649"/>
    <w:rsid w:val="009C22A6"/>
    <w:rsid w:val="009C2A1C"/>
    <w:rsid w:val="009C2B8A"/>
    <w:rsid w:val="009C3493"/>
    <w:rsid w:val="009C6BC8"/>
    <w:rsid w:val="009C6E51"/>
    <w:rsid w:val="009C7855"/>
    <w:rsid w:val="009D0E4E"/>
    <w:rsid w:val="009D0EC5"/>
    <w:rsid w:val="009D1A24"/>
    <w:rsid w:val="009D4DB4"/>
    <w:rsid w:val="009D581F"/>
    <w:rsid w:val="009E2D6B"/>
    <w:rsid w:val="009E2FE9"/>
    <w:rsid w:val="009E5E3D"/>
    <w:rsid w:val="009F0FAB"/>
    <w:rsid w:val="009F1658"/>
    <w:rsid w:val="009F2F53"/>
    <w:rsid w:val="009F347E"/>
    <w:rsid w:val="009F4B5A"/>
    <w:rsid w:val="009F4F85"/>
    <w:rsid w:val="009F60F3"/>
    <w:rsid w:val="00A036D8"/>
    <w:rsid w:val="00A03862"/>
    <w:rsid w:val="00A05381"/>
    <w:rsid w:val="00A056C4"/>
    <w:rsid w:val="00A076BD"/>
    <w:rsid w:val="00A1003E"/>
    <w:rsid w:val="00A101AB"/>
    <w:rsid w:val="00A12552"/>
    <w:rsid w:val="00A13385"/>
    <w:rsid w:val="00A1655E"/>
    <w:rsid w:val="00A224CB"/>
    <w:rsid w:val="00A22E3B"/>
    <w:rsid w:val="00A231FE"/>
    <w:rsid w:val="00A239D5"/>
    <w:rsid w:val="00A24065"/>
    <w:rsid w:val="00A24DF1"/>
    <w:rsid w:val="00A25D06"/>
    <w:rsid w:val="00A30011"/>
    <w:rsid w:val="00A339C7"/>
    <w:rsid w:val="00A37631"/>
    <w:rsid w:val="00A42694"/>
    <w:rsid w:val="00A430EB"/>
    <w:rsid w:val="00A436F6"/>
    <w:rsid w:val="00A43B8C"/>
    <w:rsid w:val="00A44011"/>
    <w:rsid w:val="00A45CE0"/>
    <w:rsid w:val="00A46C73"/>
    <w:rsid w:val="00A475C8"/>
    <w:rsid w:val="00A50053"/>
    <w:rsid w:val="00A52F2D"/>
    <w:rsid w:val="00A53AAB"/>
    <w:rsid w:val="00A55F44"/>
    <w:rsid w:val="00A6062D"/>
    <w:rsid w:val="00A607C4"/>
    <w:rsid w:val="00A612B9"/>
    <w:rsid w:val="00A61585"/>
    <w:rsid w:val="00A631AA"/>
    <w:rsid w:val="00A70D09"/>
    <w:rsid w:val="00A80203"/>
    <w:rsid w:val="00A82C46"/>
    <w:rsid w:val="00A8355C"/>
    <w:rsid w:val="00A91604"/>
    <w:rsid w:val="00A9461E"/>
    <w:rsid w:val="00A95CD2"/>
    <w:rsid w:val="00A9753B"/>
    <w:rsid w:val="00AA2DC4"/>
    <w:rsid w:val="00AA4688"/>
    <w:rsid w:val="00AA5BE9"/>
    <w:rsid w:val="00AA66F4"/>
    <w:rsid w:val="00AA76AD"/>
    <w:rsid w:val="00AA7BD9"/>
    <w:rsid w:val="00AB0D6B"/>
    <w:rsid w:val="00AB0EE6"/>
    <w:rsid w:val="00AB13C8"/>
    <w:rsid w:val="00AB22FF"/>
    <w:rsid w:val="00AB503E"/>
    <w:rsid w:val="00AC1483"/>
    <w:rsid w:val="00AC1904"/>
    <w:rsid w:val="00AC2C39"/>
    <w:rsid w:val="00AC42D0"/>
    <w:rsid w:val="00AC6604"/>
    <w:rsid w:val="00AC681C"/>
    <w:rsid w:val="00AC6F0E"/>
    <w:rsid w:val="00AC72CC"/>
    <w:rsid w:val="00AC784E"/>
    <w:rsid w:val="00AD045D"/>
    <w:rsid w:val="00AD1A23"/>
    <w:rsid w:val="00AD2325"/>
    <w:rsid w:val="00AD3A28"/>
    <w:rsid w:val="00AD546B"/>
    <w:rsid w:val="00AD744D"/>
    <w:rsid w:val="00AE00D7"/>
    <w:rsid w:val="00AE0B72"/>
    <w:rsid w:val="00AE563E"/>
    <w:rsid w:val="00AE65F4"/>
    <w:rsid w:val="00AF0B67"/>
    <w:rsid w:val="00AF57B1"/>
    <w:rsid w:val="00AF5F42"/>
    <w:rsid w:val="00AF6D3B"/>
    <w:rsid w:val="00AF7FB3"/>
    <w:rsid w:val="00B0412B"/>
    <w:rsid w:val="00B054B1"/>
    <w:rsid w:val="00B060AB"/>
    <w:rsid w:val="00B06DAC"/>
    <w:rsid w:val="00B07980"/>
    <w:rsid w:val="00B116E5"/>
    <w:rsid w:val="00B127A9"/>
    <w:rsid w:val="00B15A2C"/>
    <w:rsid w:val="00B163CE"/>
    <w:rsid w:val="00B16DA1"/>
    <w:rsid w:val="00B17AE1"/>
    <w:rsid w:val="00B22B56"/>
    <w:rsid w:val="00B248F3"/>
    <w:rsid w:val="00B249E0"/>
    <w:rsid w:val="00B26255"/>
    <w:rsid w:val="00B3021E"/>
    <w:rsid w:val="00B30B75"/>
    <w:rsid w:val="00B31602"/>
    <w:rsid w:val="00B3176C"/>
    <w:rsid w:val="00B317AC"/>
    <w:rsid w:val="00B34623"/>
    <w:rsid w:val="00B37B08"/>
    <w:rsid w:val="00B40AD1"/>
    <w:rsid w:val="00B411EF"/>
    <w:rsid w:val="00B42227"/>
    <w:rsid w:val="00B42B66"/>
    <w:rsid w:val="00B44CDC"/>
    <w:rsid w:val="00B46918"/>
    <w:rsid w:val="00B47B28"/>
    <w:rsid w:val="00B50B48"/>
    <w:rsid w:val="00B5133C"/>
    <w:rsid w:val="00B5305C"/>
    <w:rsid w:val="00B541ED"/>
    <w:rsid w:val="00B545A1"/>
    <w:rsid w:val="00B56C88"/>
    <w:rsid w:val="00B56DF4"/>
    <w:rsid w:val="00B60296"/>
    <w:rsid w:val="00B610E5"/>
    <w:rsid w:val="00B675BE"/>
    <w:rsid w:val="00B67F14"/>
    <w:rsid w:val="00B7351F"/>
    <w:rsid w:val="00B7465A"/>
    <w:rsid w:val="00B8482D"/>
    <w:rsid w:val="00B8552F"/>
    <w:rsid w:val="00B85B52"/>
    <w:rsid w:val="00B86815"/>
    <w:rsid w:val="00B87993"/>
    <w:rsid w:val="00B919B6"/>
    <w:rsid w:val="00B92D09"/>
    <w:rsid w:val="00B95CED"/>
    <w:rsid w:val="00B95F85"/>
    <w:rsid w:val="00B966DE"/>
    <w:rsid w:val="00B96A30"/>
    <w:rsid w:val="00B979BC"/>
    <w:rsid w:val="00BA19BA"/>
    <w:rsid w:val="00BA1A00"/>
    <w:rsid w:val="00BA1A0D"/>
    <w:rsid w:val="00BA3DD9"/>
    <w:rsid w:val="00BA6F64"/>
    <w:rsid w:val="00BA7DD8"/>
    <w:rsid w:val="00BB2216"/>
    <w:rsid w:val="00BB467F"/>
    <w:rsid w:val="00BB472D"/>
    <w:rsid w:val="00BB6696"/>
    <w:rsid w:val="00BB7AA1"/>
    <w:rsid w:val="00BB7C01"/>
    <w:rsid w:val="00BC0FB8"/>
    <w:rsid w:val="00BC45A7"/>
    <w:rsid w:val="00BC6B2E"/>
    <w:rsid w:val="00BC7711"/>
    <w:rsid w:val="00BC7B8C"/>
    <w:rsid w:val="00BD0566"/>
    <w:rsid w:val="00BD0C2A"/>
    <w:rsid w:val="00BD53DE"/>
    <w:rsid w:val="00BD7005"/>
    <w:rsid w:val="00BE3971"/>
    <w:rsid w:val="00BE4069"/>
    <w:rsid w:val="00BE56DA"/>
    <w:rsid w:val="00BF0A03"/>
    <w:rsid w:val="00BF30E1"/>
    <w:rsid w:val="00BF4246"/>
    <w:rsid w:val="00BF48C7"/>
    <w:rsid w:val="00C01E43"/>
    <w:rsid w:val="00C045B5"/>
    <w:rsid w:val="00C0575C"/>
    <w:rsid w:val="00C077BF"/>
    <w:rsid w:val="00C07AD9"/>
    <w:rsid w:val="00C07E00"/>
    <w:rsid w:val="00C14387"/>
    <w:rsid w:val="00C14A5A"/>
    <w:rsid w:val="00C14F51"/>
    <w:rsid w:val="00C15F77"/>
    <w:rsid w:val="00C16D80"/>
    <w:rsid w:val="00C227A2"/>
    <w:rsid w:val="00C24B74"/>
    <w:rsid w:val="00C2625F"/>
    <w:rsid w:val="00C27872"/>
    <w:rsid w:val="00C279F6"/>
    <w:rsid w:val="00C30219"/>
    <w:rsid w:val="00C30F5C"/>
    <w:rsid w:val="00C320E2"/>
    <w:rsid w:val="00C32A05"/>
    <w:rsid w:val="00C33625"/>
    <w:rsid w:val="00C37A42"/>
    <w:rsid w:val="00C406EA"/>
    <w:rsid w:val="00C43C09"/>
    <w:rsid w:val="00C43C86"/>
    <w:rsid w:val="00C45133"/>
    <w:rsid w:val="00C46B03"/>
    <w:rsid w:val="00C52D1F"/>
    <w:rsid w:val="00C52F50"/>
    <w:rsid w:val="00C561B0"/>
    <w:rsid w:val="00C62725"/>
    <w:rsid w:val="00C632E7"/>
    <w:rsid w:val="00C648D0"/>
    <w:rsid w:val="00C65B92"/>
    <w:rsid w:val="00C73FAA"/>
    <w:rsid w:val="00C75280"/>
    <w:rsid w:val="00C76E51"/>
    <w:rsid w:val="00C76E6D"/>
    <w:rsid w:val="00C76EC9"/>
    <w:rsid w:val="00C77D02"/>
    <w:rsid w:val="00C80F7F"/>
    <w:rsid w:val="00C852C3"/>
    <w:rsid w:val="00C86E6A"/>
    <w:rsid w:val="00C876AE"/>
    <w:rsid w:val="00C93CFA"/>
    <w:rsid w:val="00C94DD0"/>
    <w:rsid w:val="00C955DF"/>
    <w:rsid w:val="00CA068B"/>
    <w:rsid w:val="00CA28A7"/>
    <w:rsid w:val="00CA4140"/>
    <w:rsid w:val="00CA4A78"/>
    <w:rsid w:val="00CA53D0"/>
    <w:rsid w:val="00CA5D19"/>
    <w:rsid w:val="00CA67F0"/>
    <w:rsid w:val="00CA6944"/>
    <w:rsid w:val="00CA7B47"/>
    <w:rsid w:val="00CB1C14"/>
    <w:rsid w:val="00CB1E5F"/>
    <w:rsid w:val="00CB2BFF"/>
    <w:rsid w:val="00CB36EF"/>
    <w:rsid w:val="00CB7283"/>
    <w:rsid w:val="00CB7C28"/>
    <w:rsid w:val="00CB7F02"/>
    <w:rsid w:val="00CC001B"/>
    <w:rsid w:val="00CC002B"/>
    <w:rsid w:val="00CC0149"/>
    <w:rsid w:val="00CC089E"/>
    <w:rsid w:val="00CC14C1"/>
    <w:rsid w:val="00CC4792"/>
    <w:rsid w:val="00CC6BA2"/>
    <w:rsid w:val="00CC7016"/>
    <w:rsid w:val="00CC7DB5"/>
    <w:rsid w:val="00CD346A"/>
    <w:rsid w:val="00CD466B"/>
    <w:rsid w:val="00CD4828"/>
    <w:rsid w:val="00CD4D78"/>
    <w:rsid w:val="00CD5C46"/>
    <w:rsid w:val="00CD764F"/>
    <w:rsid w:val="00CE03A9"/>
    <w:rsid w:val="00CE205A"/>
    <w:rsid w:val="00CE3671"/>
    <w:rsid w:val="00CE3790"/>
    <w:rsid w:val="00CF0854"/>
    <w:rsid w:val="00CF0E35"/>
    <w:rsid w:val="00CF1498"/>
    <w:rsid w:val="00CF3219"/>
    <w:rsid w:val="00CF3CF3"/>
    <w:rsid w:val="00CF4335"/>
    <w:rsid w:val="00CF4554"/>
    <w:rsid w:val="00D03116"/>
    <w:rsid w:val="00D04854"/>
    <w:rsid w:val="00D04FDE"/>
    <w:rsid w:val="00D052EB"/>
    <w:rsid w:val="00D07613"/>
    <w:rsid w:val="00D12606"/>
    <w:rsid w:val="00D16DEA"/>
    <w:rsid w:val="00D17E44"/>
    <w:rsid w:val="00D215EF"/>
    <w:rsid w:val="00D226E2"/>
    <w:rsid w:val="00D23E80"/>
    <w:rsid w:val="00D259E4"/>
    <w:rsid w:val="00D25F81"/>
    <w:rsid w:val="00D27547"/>
    <w:rsid w:val="00D356A3"/>
    <w:rsid w:val="00D362E2"/>
    <w:rsid w:val="00D41EB6"/>
    <w:rsid w:val="00D42FD0"/>
    <w:rsid w:val="00D44611"/>
    <w:rsid w:val="00D460BE"/>
    <w:rsid w:val="00D46791"/>
    <w:rsid w:val="00D50FF5"/>
    <w:rsid w:val="00D524FB"/>
    <w:rsid w:val="00D56D3C"/>
    <w:rsid w:val="00D63A02"/>
    <w:rsid w:val="00D6425D"/>
    <w:rsid w:val="00D64E34"/>
    <w:rsid w:val="00D6532D"/>
    <w:rsid w:val="00D65623"/>
    <w:rsid w:val="00D66737"/>
    <w:rsid w:val="00D668B5"/>
    <w:rsid w:val="00D7192A"/>
    <w:rsid w:val="00D72E72"/>
    <w:rsid w:val="00D76738"/>
    <w:rsid w:val="00D771F2"/>
    <w:rsid w:val="00D8462E"/>
    <w:rsid w:val="00D852E0"/>
    <w:rsid w:val="00D85B9D"/>
    <w:rsid w:val="00D8778F"/>
    <w:rsid w:val="00D87EAE"/>
    <w:rsid w:val="00D93ED2"/>
    <w:rsid w:val="00D9511B"/>
    <w:rsid w:val="00D9608E"/>
    <w:rsid w:val="00DA1AFA"/>
    <w:rsid w:val="00DA266D"/>
    <w:rsid w:val="00DA3B99"/>
    <w:rsid w:val="00DA4760"/>
    <w:rsid w:val="00DA47B1"/>
    <w:rsid w:val="00DA5ED4"/>
    <w:rsid w:val="00DA700C"/>
    <w:rsid w:val="00DB0769"/>
    <w:rsid w:val="00DB36F9"/>
    <w:rsid w:val="00DB5857"/>
    <w:rsid w:val="00DB7FE0"/>
    <w:rsid w:val="00DC0476"/>
    <w:rsid w:val="00DC07F0"/>
    <w:rsid w:val="00DC218C"/>
    <w:rsid w:val="00DC39DD"/>
    <w:rsid w:val="00DC42DD"/>
    <w:rsid w:val="00DC6FCF"/>
    <w:rsid w:val="00DD0EF7"/>
    <w:rsid w:val="00DD0FDD"/>
    <w:rsid w:val="00DD32C2"/>
    <w:rsid w:val="00DD6C63"/>
    <w:rsid w:val="00DE09CC"/>
    <w:rsid w:val="00DE0C6A"/>
    <w:rsid w:val="00DE45C4"/>
    <w:rsid w:val="00DE53B4"/>
    <w:rsid w:val="00DE5F41"/>
    <w:rsid w:val="00DE69F0"/>
    <w:rsid w:val="00DE7EDA"/>
    <w:rsid w:val="00DF1090"/>
    <w:rsid w:val="00DF127B"/>
    <w:rsid w:val="00DF2DD9"/>
    <w:rsid w:val="00E0174A"/>
    <w:rsid w:val="00E01EC5"/>
    <w:rsid w:val="00E03544"/>
    <w:rsid w:val="00E045D2"/>
    <w:rsid w:val="00E05A10"/>
    <w:rsid w:val="00E05CD7"/>
    <w:rsid w:val="00E0609B"/>
    <w:rsid w:val="00E06B52"/>
    <w:rsid w:val="00E1158B"/>
    <w:rsid w:val="00E11A75"/>
    <w:rsid w:val="00E11EBE"/>
    <w:rsid w:val="00E12F6D"/>
    <w:rsid w:val="00E13615"/>
    <w:rsid w:val="00E13CEA"/>
    <w:rsid w:val="00E14117"/>
    <w:rsid w:val="00E14991"/>
    <w:rsid w:val="00E14AC7"/>
    <w:rsid w:val="00E16C32"/>
    <w:rsid w:val="00E17082"/>
    <w:rsid w:val="00E177D1"/>
    <w:rsid w:val="00E20917"/>
    <w:rsid w:val="00E21E89"/>
    <w:rsid w:val="00E22127"/>
    <w:rsid w:val="00E22BA2"/>
    <w:rsid w:val="00E22CFC"/>
    <w:rsid w:val="00E31258"/>
    <w:rsid w:val="00E31462"/>
    <w:rsid w:val="00E3167E"/>
    <w:rsid w:val="00E31699"/>
    <w:rsid w:val="00E34454"/>
    <w:rsid w:val="00E34604"/>
    <w:rsid w:val="00E349FB"/>
    <w:rsid w:val="00E41BED"/>
    <w:rsid w:val="00E41D82"/>
    <w:rsid w:val="00E44917"/>
    <w:rsid w:val="00E44F3F"/>
    <w:rsid w:val="00E520BF"/>
    <w:rsid w:val="00E52391"/>
    <w:rsid w:val="00E536D3"/>
    <w:rsid w:val="00E545F4"/>
    <w:rsid w:val="00E55CFB"/>
    <w:rsid w:val="00E55F78"/>
    <w:rsid w:val="00E5680D"/>
    <w:rsid w:val="00E5718C"/>
    <w:rsid w:val="00E61B01"/>
    <w:rsid w:val="00E61ECD"/>
    <w:rsid w:val="00E63294"/>
    <w:rsid w:val="00E65E03"/>
    <w:rsid w:val="00E66CBB"/>
    <w:rsid w:val="00E70253"/>
    <w:rsid w:val="00E7099D"/>
    <w:rsid w:val="00E7111B"/>
    <w:rsid w:val="00E74ED8"/>
    <w:rsid w:val="00E758AE"/>
    <w:rsid w:val="00E8496E"/>
    <w:rsid w:val="00E84F2F"/>
    <w:rsid w:val="00E856C4"/>
    <w:rsid w:val="00E86916"/>
    <w:rsid w:val="00E90E7B"/>
    <w:rsid w:val="00E943C7"/>
    <w:rsid w:val="00E94C1C"/>
    <w:rsid w:val="00E96064"/>
    <w:rsid w:val="00E97962"/>
    <w:rsid w:val="00EA0254"/>
    <w:rsid w:val="00EA0DD1"/>
    <w:rsid w:val="00EA2F50"/>
    <w:rsid w:val="00EA39D0"/>
    <w:rsid w:val="00EA4C15"/>
    <w:rsid w:val="00EA65FF"/>
    <w:rsid w:val="00EA6943"/>
    <w:rsid w:val="00EB05FB"/>
    <w:rsid w:val="00EB0A3C"/>
    <w:rsid w:val="00EB4140"/>
    <w:rsid w:val="00EB6651"/>
    <w:rsid w:val="00EC044F"/>
    <w:rsid w:val="00EC0DC9"/>
    <w:rsid w:val="00EC1CD1"/>
    <w:rsid w:val="00EC2B95"/>
    <w:rsid w:val="00EC7F6F"/>
    <w:rsid w:val="00ED0341"/>
    <w:rsid w:val="00ED077F"/>
    <w:rsid w:val="00ED13DC"/>
    <w:rsid w:val="00ED39EB"/>
    <w:rsid w:val="00ED47C1"/>
    <w:rsid w:val="00EE100A"/>
    <w:rsid w:val="00EE4EEB"/>
    <w:rsid w:val="00EE5E67"/>
    <w:rsid w:val="00EE7031"/>
    <w:rsid w:val="00EF0A40"/>
    <w:rsid w:val="00EF1D3A"/>
    <w:rsid w:val="00EF3D62"/>
    <w:rsid w:val="00EF4473"/>
    <w:rsid w:val="00EF5EE9"/>
    <w:rsid w:val="00F0092A"/>
    <w:rsid w:val="00F02A8F"/>
    <w:rsid w:val="00F02B17"/>
    <w:rsid w:val="00F02F3C"/>
    <w:rsid w:val="00F036C9"/>
    <w:rsid w:val="00F052C9"/>
    <w:rsid w:val="00F06F0D"/>
    <w:rsid w:val="00F10293"/>
    <w:rsid w:val="00F11201"/>
    <w:rsid w:val="00F116EC"/>
    <w:rsid w:val="00F118D3"/>
    <w:rsid w:val="00F11A04"/>
    <w:rsid w:val="00F13511"/>
    <w:rsid w:val="00F140AE"/>
    <w:rsid w:val="00F14B09"/>
    <w:rsid w:val="00F15C11"/>
    <w:rsid w:val="00F22CF8"/>
    <w:rsid w:val="00F23FF4"/>
    <w:rsid w:val="00F247A6"/>
    <w:rsid w:val="00F24DF3"/>
    <w:rsid w:val="00F25E8B"/>
    <w:rsid w:val="00F27782"/>
    <w:rsid w:val="00F277B4"/>
    <w:rsid w:val="00F27FF7"/>
    <w:rsid w:val="00F30912"/>
    <w:rsid w:val="00F31153"/>
    <w:rsid w:val="00F312E9"/>
    <w:rsid w:val="00F321AB"/>
    <w:rsid w:val="00F334EE"/>
    <w:rsid w:val="00F3527E"/>
    <w:rsid w:val="00F358B9"/>
    <w:rsid w:val="00F361CB"/>
    <w:rsid w:val="00F40452"/>
    <w:rsid w:val="00F41C43"/>
    <w:rsid w:val="00F42A47"/>
    <w:rsid w:val="00F50009"/>
    <w:rsid w:val="00F563C6"/>
    <w:rsid w:val="00F57539"/>
    <w:rsid w:val="00F60507"/>
    <w:rsid w:val="00F609C0"/>
    <w:rsid w:val="00F62D6A"/>
    <w:rsid w:val="00F63A95"/>
    <w:rsid w:val="00F64CD3"/>
    <w:rsid w:val="00F6576C"/>
    <w:rsid w:val="00F659D3"/>
    <w:rsid w:val="00F72441"/>
    <w:rsid w:val="00F73885"/>
    <w:rsid w:val="00F74685"/>
    <w:rsid w:val="00F749D0"/>
    <w:rsid w:val="00F75BD3"/>
    <w:rsid w:val="00F7729C"/>
    <w:rsid w:val="00F77A6E"/>
    <w:rsid w:val="00F80198"/>
    <w:rsid w:val="00F815E8"/>
    <w:rsid w:val="00F84514"/>
    <w:rsid w:val="00F9007F"/>
    <w:rsid w:val="00F92FD0"/>
    <w:rsid w:val="00F93B9C"/>
    <w:rsid w:val="00F93CD8"/>
    <w:rsid w:val="00F9741E"/>
    <w:rsid w:val="00F9767D"/>
    <w:rsid w:val="00FA00CA"/>
    <w:rsid w:val="00FA15BE"/>
    <w:rsid w:val="00FA49CE"/>
    <w:rsid w:val="00FA660E"/>
    <w:rsid w:val="00FB06B8"/>
    <w:rsid w:val="00FB2691"/>
    <w:rsid w:val="00FB4C55"/>
    <w:rsid w:val="00FB6AC4"/>
    <w:rsid w:val="00FB717C"/>
    <w:rsid w:val="00FC07F5"/>
    <w:rsid w:val="00FC5ABB"/>
    <w:rsid w:val="00FC6056"/>
    <w:rsid w:val="00FC7234"/>
    <w:rsid w:val="00FD1377"/>
    <w:rsid w:val="00FD1AE4"/>
    <w:rsid w:val="00FD5BA1"/>
    <w:rsid w:val="00FD7414"/>
    <w:rsid w:val="00FE1970"/>
    <w:rsid w:val="00FE351B"/>
    <w:rsid w:val="00FE3AC6"/>
    <w:rsid w:val="00FE601B"/>
    <w:rsid w:val="00FE64A0"/>
    <w:rsid w:val="00FE64D9"/>
    <w:rsid w:val="00FF1B6A"/>
    <w:rsid w:val="00FF3C89"/>
    <w:rsid w:val="00FF507C"/>
    <w:rsid w:val="00FF61A7"/>
    <w:rsid w:val="00FF6370"/>
    <w:rsid w:val="00FF65F8"/>
    <w:rsid w:val="00FF65FD"/>
    <w:rsid w:val="00FF7D32"/>
    <w:rsid w:val="012845F2"/>
    <w:rsid w:val="01664602"/>
    <w:rsid w:val="0167096A"/>
    <w:rsid w:val="017158B6"/>
    <w:rsid w:val="019B567C"/>
    <w:rsid w:val="01A22C15"/>
    <w:rsid w:val="01D63375"/>
    <w:rsid w:val="01DB6127"/>
    <w:rsid w:val="020F5EE1"/>
    <w:rsid w:val="021D229B"/>
    <w:rsid w:val="02223D56"/>
    <w:rsid w:val="02240524"/>
    <w:rsid w:val="023C3CD4"/>
    <w:rsid w:val="024F7F60"/>
    <w:rsid w:val="028A12C8"/>
    <w:rsid w:val="02A81770"/>
    <w:rsid w:val="02C50974"/>
    <w:rsid w:val="03101E00"/>
    <w:rsid w:val="032C2780"/>
    <w:rsid w:val="033F5DC4"/>
    <w:rsid w:val="03455F4E"/>
    <w:rsid w:val="03561571"/>
    <w:rsid w:val="03576B28"/>
    <w:rsid w:val="03617B21"/>
    <w:rsid w:val="03714187"/>
    <w:rsid w:val="038D16A3"/>
    <w:rsid w:val="03AE3AF3"/>
    <w:rsid w:val="0414150B"/>
    <w:rsid w:val="04385FB7"/>
    <w:rsid w:val="046E7D42"/>
    <w:rsid w:val="048D5DDD"/>
    <w:rsid w:val="04AE63F2"/>
    <w:rsid w:val="04E35A1E"/>
    <w:rsid w:val="04E452F2"/>
    <w:rsid w:val="04F011D8"/>
    <w:rsid w:val="050A5DDB"/>
    <w:rsid w:val="05450A86"/>
    <w:rsid w:val="054D2E98"/>
    <w:rsid w:val="05740424"/>
    <w:rsid w:val="05C67A6B"/>
    <w:rsid w:val="05F701F1"/>
    <w:rsid w:val="06190FCC"/>
    <w:rsid w:val="06382356"/>
    <w:rsid w:val="06876C13"/>
    <w:rsid w:val="06B01930"/>
    <w:rsid w:val="06D849E3"/>
    <w:rsid w:val="06F2019A"/>
    <w:rsid w:val="06FA6082"/>
    <w:rsid w:val="07352CDE"/>
    <w:rsid w:val="07367CE4"/>
    <w:rsid w:val="07373DFF"/>
    <w:rsid w:val="07484826"/>
    <w:rsid w:val="07493F9A"/>
    <w:rsid w:val="075A189C"/>
    <w:rsid w:val="07625216"/>
    <w:rsid w:val="07854B6B"/>
    <w:rsid w:val="07BC1346"/>
    <w:rsid w:val="07BC17E5"/>
    <w:rsid w:val="07C531B9"/>
    <w:rsid w:val="07EC2E3C"/>
    <w:rsid w:val="0822685D"/>
    <w:rsid w:val="08420CAE"/>
    <w:rsid w:val="086D0FF4"/>
    <w:rsid w:val="08784A70"/>
    <w:rsid w:val="088210AA"/>
    <w:rsid w:val="08A16908"/>
    <w:rsid w:val="08C25591"/>
    <w:rsid w:val="08CC1F40"/>
    <w:rsid w:val="08EE04EE"/>
    <w:rsid w:val="08F94AE6"/>
    <w:rsid w:val="091D0DD3"/>
    <w:rsid w:val="09271C52"/>
    <w:rsid w:val="0934265E"/>
    <w:rsid w:val="09453CF6"/>
    <w:rsid w:val="09631F69"/>
    <w:rsid w:val="09675321"/>
    <w:rsid w:val="09824EA9"/>
    <w:rsid w:val="09B91853"/>
    <w:rsid w:val="09C13E54"/>
    <w:rsid w:val="09D93AF4"/>
    <w:rsid w:val="09FE34C3"/>
    <w:rsid w:val="0A026946"/>
    <w:rsid w:val="0A0C17EE"/>
    <w:rsid w:val="0A0F4BBF"/>
    <w:rsid w:val="0A2E033A"/>
    <w:rsid w:val="0AA3355A"/>
    <w:rsid w:val="0ABD0ABF"/>
    <w:rsid w:val="0AF21185"/>
    <w:rsid w:val="0AF54839"/>
    <w:rsid w:val="0B1943E4"/>
    <w:rsid w:val="0B1C003E"/>
    <w:rsid w:val="0B2B5A29"/>
    <w:rsid w:val="0B3E2852"/>
    <w:rsid w:val="0B583D8C"/>
    <w:rsid w:val="0B867E39"/>
    <w:rsid w:val="0BF56037"/>
    <w:rsid w:val="0C2C1C73"/>
    <w:rsid w:val="0C590374"/>
    <w:rsid w:val="0C621E51"/>
    <w:rsid w:val="0CEC568C"/>
    <w:rsid w:val="0D1A2B2A"/>
    <w:rsid w:val="0D35493D"/>
    <w:rsid w:val="0D3C216F"/>
    <w:rsid w:val="0D6F6368"/>
    <w:rsid w:val="0D753715"/>
    <w:rsid w:val="0DAC7E60"/>
    <w:rsid w:val="0E121122"/>
    <w:rsid w:val="0E3B2427"/>
    <w:rsid w:val="0E3C3556"/>
    <w:rsid w:val="0E645822"/>
    <w:rsid w:val="0EE51716"/>
    <w:rsid w:val="0EEE56EB"/>
    <w:rsid w:val="0EFD76BF"/>
    <w:rsid w:val="0F1C3F0C"/>
    <w:rsid w:val="0F20786F"/>
    <w:rsid w:val="0F5D461F"/>
    <w:rsid w:val="0F866581"/>
    <w:rsid w:val="0F961AE6"/>
    <w:rsid w:val="0FB81855"/>
    <w:rsid w:val="0FDA5C70"/>
    <w:rsid w:val="0FE3588B"/>
    <w:rsid w:val="0FEE5C22"/>
    <w:rsid w:val="0FF03EB7"/>
    <w:rsid w:val="0FFB0549"/>
    <w:rsid w:val="10083F4E"/>
    <w:rsid w:val="100F5919"/>
    <w:rsid w:val="10724E20"/>
    <w:rsid w:val="10765998"/>
    <w:rsid w:val="108C51BC"/>
    <w:rsid w:val="10B811E6"/>
    <w:rsid w:val="10C44237"/>
    <w:rsid w:val="10E943BC"/>
    <w:rsid w:val="10FD7E68"/>
    <w:rsid w:val="11082369"/>
    <w:rsid w:val="112847B9"/>
    <w:rsid w:val="114C04A7"/>
    <w:rsid w:val="118F714F"/>
    <w:rsid w:val="11AE50A3"/>
    <w:rsid w:val="11CC2683"/>
    <w:rsid w:val="11D5049D"/>
    <w:rsid w:val="11DB182B"/>
    <w:rsid w:val="11F64A0A"/>
    <w:rsid w:val="11F67770"/>
    <w:rsid w:val="120E7E53"/>
    <w:rsid w:val="1254464C"/>
    <w:rsid w:val="125E0D24"/>
    <w:rsid w:val="126F08F1"/>
    <w:rsid w:val="128A74D9"/>
    <w:rsid w:val="129144DF"/>
    <w:rsid w:val="12C57D1D"/>
    <w:rsid w:val="12CB3684"/>
    <w:rsid w:val="132A1CFF"/>
    <w:rsid w:val="13497394"/>
    <w:rsid w:val="13540CE3"/>
    <w:rsid w:val="135950FD"/>
    <w:rsid w:val="13837AAC"/>
    <w:rsid w:val="13907E31"/>
    <w:rsid w:val="13C06F2A"/>
    <w:rsid w:val="13D12EE6"/>
    <w:rsid w:val="13E94887"/>
    <w:rsid w:val="13FC61B5"/>
    <w:rsid w:val="14157276"/>
    <w:rsid w:val="14244696"/>
    <w:rsid w:val="14453750"/>
    <w:rsid w:val="146452B4"/>
    <w:rsid w:val="147D576D"/>
    <w:rsid w:val="14891A12"/>
    <w:rsid w:val="14AD3953"/>
    <w:rsid w:val="151535D3"/>
    <w:rsid w:val="15282203"/>
    <w:rsid w:val="153D5EE7"/>
    <w:rsid w:val="158A44FB"/>
    <w:rsid w:val="15EC4D86"/>
    <w:rsid w:val="161B26B3"/>
    <w:rsid w:val="162836F0"/>
    <w:rsid w:val="16602D13"/>
    <w:rsid w:val="16AF6E29"/>
    <w:rsid w:val="16B8213B"/>
    <w:rsid w:val="16DA0303"/>
    <w:rsid w:val="16F947A3"/>
    <w:rsid w:val="170C6335"/>
    <w:rsid w:val="17114BCF"/>
    <w:rsid w:val="17173305"/>
    <w:rsid w:val="174A36DB"/>
    <w:rsid w:val="17626C76"/>
    <w:rsid w:val="177922F0"/>
    <w:rsid w:val="177E1C99"/>
    <w:rsid w:val="1795270C"/>
    <w:rsid w:val="179761F4"/>
    <w:rsid w:val="182C7C52"/>
    <w:rsid w:val="184A0623"/>
    <w:rsid w:val="184E03B3"/>
    <w:rsid w:val="18553A95"/>
    <w:rsid w:val="18583BD5"/>
    <w:rsid w:val="186055AA"/>
    <w:rsid w:val="186765A7"/>
    <w:rsid w:val="1876405C"/>
    <w:rsid w:val="18DC2D56"/>
    <w:rsid w:val="18E67433"/>
    <w:rsid w:val="191952D0"/>
    <w:rsid w:val="193C50BE"/>
    <w:rsid w:val="194C017D"/>
    <w:rsid w:val="19502AFF"/>
    <w:rsid w:val="19602F47"/>
    <w:rsid w:val="197131A1"/>
    <w:rsid w:val="1977452F"/>
    <w:rsid w:val="19AD121D"/>
    <w:rsid w:val="19B44AF7"/>
    <w:rsid w:val="19D02E0A"/>
    <w:rsid w:val="1A0F307F"/>
    <w:rsid w:val="1A1678A4"/>
    <w:rsid w:val="1A3F329F"/>
    <w:rsid w:val="1A47216B"/>
    <w:rsid w:val="1A524C3A"/>
    <w:rsid w:val="1A53464F"/>
    <w:rsid w:val="1AA90718"/>
    <w:rsid w:val="1AC6751C"/>
    <w:rsid w:val="1ADE00A1"/>
    <w:rsid w:val="1AF347C3"/>
    <w:rsid w:val="1B2C0631"/>
    <w:rsid w:val="1B43291B"/>
    <w:rsid w:val="1B6211BB"/>
    <w:rsid w:val="1BA513E1"/>
    <w:rsid w:val="1BA57E2E"/>
    <w:rsid w:val="1BC670A8"/>
    <w:rsid w:val="1C741C89"/>
    <w:rsid w:val="1CB515F6"/>
    <w:rsid w:val="1CBA09BB"/>
    <w:rsid w:val="1D23780D"/>
    <w:rsid w:val="1D365280"/>
    <w:rsid w:val="1D4330A6"/>
    <w:rsid w:val="1D491F5C"/>
    <w:rsid w:val="1D4D7274"/>
    <w:rsid w:val="1D933453"/>
    <w:rsid w:val="1DAD4D54"/>
    <w:rsid w:val="1DE67DE8"/>
    <w:rsid w:val="1E2F362A"/>
    <w:rsid w:val="1E422931"/>
    <w:rsid w:val="1E6F4FEA"/>
    <w:rsid w:val="1E9B07F5"/>
    <w:rsid w:val="1EDA5344"/>
    <w:rsid w:val="1EF17AE5"/>
    <w:rsid w:val="1F5C044F"/>
    <w:rsid w:val="1F893B80"/>
    <w:rsid w:val="1FBC6C69"/>
    <w:rsid w:val="1FE23785"/>
    <w:rsid w:val="20360CA0"/>
    <w:rsid w:val="20716B6C"/>
    <w:rsid w:val="20B25901"/>
    <w:rsid w:val="20D64231"/>
    <w:rsid w:val="20F46465"/>
    <w:rsid w:val="21000CF9"/>
    <w:rsid w:val="2114147E"/>
    <w:rsid w:val="211554AA"/>
    <w:rsid w:val="212D20A3"/>
    <w:rsid w:val="2154483D"/>
    <w:rsid w:val="2184320E"/>
    <w:rsid w:val="218743B9"/>
    <w:rsid w:val="2197751D"/>
    <w:rsid w:val="21D57C13"/>
    <w:rsid w:val="21E116E9"/>
    <w:rsid w:val="21E6637F"/>
    <w:rsid w:val="220103AD"/>
    <w:rsid w:val="226C6BFB"/>
    <w:rsid w:val="226F0499"/>
    <w:rsid w:val="22711792"/>
    <w:rsid w:val="229E48DB"/>
    <w:rsid w:val="22AE3097"/>
    <w:rsid w:val="22B52E22"/>
    <w:rsid w:val="22C2681B"/>
    <w:rsid w:val="22D402FC"/>
    <w:rsid w:val="22EC2DE4"/>
    <w:rsid w:val="23407644"/>
    <w:rsid w:val="2371059C"/>
    <w:rsid w:val="238B4600"/>
    <w:rsid w:val="239A46F7"/>
    <w:rsid w:val="23AF3D88"/>
    <w:rsid w:val="23BA5744"/>
    <w:rsid w:val="23BB3D61"/>
    <w:rsid w:val="23C71C0F"/>
    <w:rsid w:val="242B3716"/>
    <w:rsid w:val="24600856"/>
    <w:rsid w:val="2460453E"/>
    <w:rsid w:val="247E5FEF"/>
    <w:rsid w:val="24C10C52"/>
    <w:rsid w:val="251C7A5B"/>
    <w:rsid w:val="25274AA9"/>
    <w:rsid w:val="25643BBA"/>
    <w:rsid w:val="258F73AB"/>
    <w:rsid w:val="25DC2934"/>
    <w:rsid w:val="26087D12"/>
    <w:rsid w:val="260D506B"/>
    <w:rsid w:val="2616700A"/>
    <w:rsid w:val="261A1A15"/>
    <w:rsid w:val="261A54D2"/>
    <w:rsid w:val="26217DC5"/>
    <w:rsid w:val="264B4D7A"/>
    <w:rsid w:val="265579A6"/>
    <w:rsid w:val="265E2CFF"/>
    <w:rsid w:val="26CC6443"/>
    <w:rsid w:val="26EC7BBC"/>
    <w:rsid w:val="26FC73CA"/>
    <w:rsid w:val="27206206"/>
    <w:rsid w:val="27273923"/>
    <w:rsid w:val="272A6108"/>
    <w:rsid w:val="273A72C8"/>
    <w:rsid w:val="27433CA3"/>
    <w:rsid w:val="27483A6D"/>
    <w:rsid w:val="275D6B12"/>
    <w:rsid w:val="277F117F"/>
    <w:rsid w:val="27910462"/>
    <w:rsid w:val="27B72E2A"/>
    <w:rsid w:val="27FF6D1F"/>
    <w:rsid w:val="281F36AB"/>
    <w:rsid w:val="283C798F"/>
    <w:rsid w:val="28650880"/>
    <w:rsid w:val="28BF3FDA"/>
    <w:rsid w:val="28D0473D"/>
    <w:rsid w:val="28EA087A"/>
    <w:rsid w:val="29115170"/>
    <w:rsid w:val="29177195"/>
    <w:rsid w:val="295A0AA5"/>
    <w:rsid w:val="295A14BE"/>
    <w:rsid w:val="29674177"/>
    <w:rsid w:val="298962E5"/>
    <w:rsid w:val="29B76660"/>
    <w:rsid w:val="29E1799C"/>
    <w:rsid w:val="29EC66D5"/>
    <w:rsid w:val="29F64FFC"/>
    <w:rsid w:val="29F85218"/>
    <w:rsid w:val="2A314286"/>
    <w:rsid w:val="2A3D7557"/>
    <w:rsid w:val="2A524929"/>
    <w:rsid w:val="2A673D12"/>
    <w:rsid w:val="2A973098"/>
    <w:rsid w:val="2AD51A9F"/>
    <w:rsid w:val="2B054287"/>
    <w:rsid w:val="2B1248C1"/>
    <w:rsid w:val="2B2045B6"/>
    <w:rsid w:val="2BA45C61"/>
    <w:rsid w:val="2BAE2033"/>
    <w:rsid w:val="2BBA12BD"/>
    <w:rsid w:val="2BC929C8"/>
    <w:rsid w:val="2BE912BD"/>
    <w:rsid w:val="2C406B1A"/>
    <w:rsid w:val="2C5D1363"/>
    <w:rsid w:val="2C8E13B8"/>
    <w:rsid w:val="2CBD6658"/>
    <w:rsid w:val="2CC55886"/>
    <w:rsid w:val="2CE81574"/>
    <w:rsid w:val="2CFE6FA0"/>
    <w:rsid w:val="2D4454D3"/>
    <w:rsid w:val="2D621327"/>
    <w:rsid w:val="2DA978A2"/>
    <w:rsid w:val="2DEE4968"/>
    <w:rsid w:val="2E0E51FE"/>
    <w:rsid w:val="2E165C6D"/>
    <w:rsid w:val="2E544152"/>
    <w:rsid w:val="2E9934E3"/>
    <w:rsid w:val="2EA119DB"/>
    <w:rsid w:val="2EB2312B"/>
    <w:rsid w:val="2EB7367B"/>
    <w:rsid w:val="2ED964C1"/>
    <w:rsid w:val="2EF20488"/>
    <w:rsid w:val="2EFC31AA"/>
    <w:rsid w:val="2F1321AD"/>
    <w:rsid w:val="2F2907E2"/>
    <w:rsid w:val="2F61116A"/>
    <w:rsid w:val="2F6615E8"/>
    <w:rsid w:val="2F8D6A4A"/>
    <w:rsid w:val="2F972FE7"/>
    <w:rsid w:val="2F9959A7"/>
    <w:rsid w:val="2FAD754E"/>
    <w:rsid w:val="2FEA73B1"/>
    <w:rsid w:val="30191A45"/>
    <w:rsid w:val="302A3C52"/>
    <w:rsid w:val="30401638"/>
    <w:rsid w:val="305F1B4D"/>
    <w:rsid w:val="307B5F05"/>
    <w:rsid w:val="30901D07"/>
    <w:rsid w:val="30A41F9B"/>
    <w:rsid w:val="30AB6454"/>
    <w:rsid w:val="310C55BA"/>
    <w:rsid w:val="310E73DB"/>
    <w:rsid w:val="317206A4"/>
    <w:rsid w:val="31772AF1"/>
    <w:rsid w:val="319A0963"/>
    <w:rsid w:val="31C972B1"/>
    <w:rsid w:val="31ED85FF"/>
    <w:rsid w:val="320539CB"/>
    <w:rsid w:val="3255364E"/>
    <w:rsid w:val="32643183"/>
    <w:rsid w:val="32805C22"/>
    <w:rsid w:val="32AE4DDB"/>
    <w:rsid w:val="32F04CDF"/>
    <w:rsid w:val="3332520E"/>
    <w:rsid w:val="33476B0E"/>
    <w:rsid w:val="335A79F9"/>
    <w:rsid w:val="33673455"/>
    <w:rsid w:val="339733AC"/>
    <w:rsid w:val="33E17CEE"/>
    <w:rsid w:val="342101A7"/>
    <w:rsid w:val="342B6971"/>
    <w:rsid w:val="344C23E9"/>
    <w:rsid w:val="345B3F3E"/>
    <w:rsid w:val="34FB115F"/>
    <w:rsid w:val="3502519D"/>
    <w:rsid w:val="352B2A9C"/>
    <w:rsid w:val="35432A03"/>
    <w:rsid w:val="354720C0"/>
    <w:rsid w:val="35521BC3"/>
    <w:rsid w:val="35777939"/>
    <w:rsid w:val="358348E1"/>
    <w:rsid w:val="358E753A"/>
    <w:rsid w:val="35A46AC1"/>
    <w:rsid w:val="35A623D8"/>
    <w:rsid w:val="35AA187C"/>
    <w:rsid w:val="35AF0E81"/>
    <w:rsid w:val="35B244CD"/>
    <w:rsid w:val="35C83CF1"/>
    <w:rsid w:val="35D94150"/>
    <w:rsid w:val="35E40FD5"/>
    <w:rsid w:val="36064819"/>
    <w:rsid w:val="362217AD"/>
    <w:rsid w:val="363A480E"/>
    <w:rsid w:val="365E1423"/>
    <w:rsid w:val="367479D5"/>
    <w:rsid w:val="367B3FC7"/>
    <w:rsid w:val="3697194B"/>
    <w:rsid w:val="36971C9C"/>
    <w:rsid w:val="36AA4D7E"/>
    <w:rsid w:val="36BA0F57"/>
    <w:rsid w:val="36C91572"/>
    <w:rsid w:val="36C941C4"/>
    <w:rsid w:val="3702101E"/>
    <w:rsid w:val="3713516B"/>
    <w:rsid w:val="371766B4"/>
    <w:rsid w:val="37321D6A"/>
    <w:rsid w:val="37643EED"/>
    <w:rsid w:val="376D0FF4"/>
    <w:rsid w:val="378219F7"/>
    <w:rsid w:val="379E73FF"/>
    <w:rsid w:val="37BE184F"/>
    <w:rsid w:val="37D808C0"/>
    <w:rsid w:val="37F61E58"/>
    <w:rsid w:val="3890775D"/>
    <w:rsid w:val="38A24CCD"/>
    <w:rsid w:val="38D041F9"/>
    <w:rsid w:val="38D267C8"/>
    <w:rsid w:val="39410779"/>
    <w:rsid w:val="399A7561"/>
    <w:rsid w:val="39C36BB3"/>
    <w:rsid w:val="39EC3579"/>
    <w:rsid w:val="39EF3F42"/>
    <w:rsid w:val="3A0756C6"/>
    <w:rsid w:val="3A2B6F44"/>
    <w:rsid w:val="3A6164C2"/>
    <w:rsid w:val="3A6F4AE4"/>
    <w:rsid w:val="3A881FA5"/>
    <w:rsid w:val="3AFF0A65"/>
    <w:rsid w:val="3B615BF5"/>
    <w:rsid w:val="3B691994"/>
    <w:rsid w:val="3B8751C4"/>
    <w:rsid w:val="3B8C57C0"/>
    <w:rsid w:val="3BA46E66"/>
    <w:rsid w:val="3BE23632"/>
    <w:rsid w:val="3BEB0B76"/>
    <w:rsid w:val="3BEC4ABF"/>
    <w:rsid w:val="3BED5A28"/>
    <w:rsid w:val="3C074CCB"/>
    <w:rsid w:val="3C53008C"/>
    <w:rsid w:val="3C5B5D1B"/>
    <w:rsid w:val="3C827090"/>
    <w:rsid w:val="3C8D5447"/>
    <w:rsid w:val="3CAD1E92"/>
    <w:rsid w:val="3CDF6BEE"/>
    <w:rsid w:val="3CE059F3"/>
    <w:rsid w:val="3D284375"/>
    <w:rsid w:val="3D4A148F"/>
    <w:rsid w:val="3D5C3BD3"/>
    <w:rsid w:val="3D605157"/>
    <w:rsid w:val="3D804EB1"/>
    <w:rsid w:val="3E09466B"/>
    <w:rsid w:val="3E0C45E6"/>
    <w:rsid w:val="3E566392"/>
    <w:rsid w:val="3E725142"/>
    <w:rsid w:val="3F0006E1"/>
    <w:rsid w:val="3F0465D9"/>
    <w:rsid w:val="3F0874F8"/>
    <w:rsid w:val="3F1462F3"/>
    <w:rsid w:val="3F226537"/>
    <w:rsid w:val="3F2A5A1C"/>
    <w:rsid w:val="3F2F6B8F"/>
    <w:rsid w:val="3F516B05"/>
    <w:rsid w:val="3F7A2500"/>
    <w:rsid w:val="3F7E2735"/>
    <w:rsid w:val="3FBD6B47"/>
    <w:rsid w:val="3FD85478"/>
    <w:rsid w:val="3FE25D60"/>
    <w:rsid w:val="407044B8"/>
    <w:rsid w:val="40995BFF"/>
    <w:rsid w:val="40E6526D"/>
    <w:rsid w:val="40EA2494"/>
    <w:rsid w:val="40F167F2"/>
    <w:rsid w:val="41140732"/>
    <w:rsid w:val="413E3771"/>
    <w:rsid w:val="41432DC5"/>
    <w:rsid w:val="415D48C5"/>
    <w:rsid w:val="41801923"/>
    <w:rsid w:val="41D01856"/>
    <w:rsid w:val="42220C2D"/>
    <w:rsid w:val="4287775A"/>
    <w:rsid w:val="42A47894"/>
    <w:rsid w:val="42A97EF2"/>
    <w:rsid w:val="42B96631"/>
    <w:rsid w:val="42D474E2"/>
    <w:rsid w:val="42D50E11"/>
    <w:rsid w:val="42FA74B4"/>
    <w:rsid w:val="43135248"/>
    <w:rsid w:val="43413334"/>
    <w:rsid w:val="434D5F65"/>
    <w:rsid w:val="43505326"/>
    <w:rsid w:val="437525BA"/>
    <w:rsid w:val="437D25BE"/>
    <w:rsid w:val="439A1D7F"/>
    <w:rsid w:val="439C027C"/>
    <w:rsid w:val="43D146B8"/>
    <w:rsid w:val="43FD424B"/>
    <w:rsid w:val="43FF1225"/>
    <w:rsid w:val="44000343"/>
    <w:rsid w:val="4428205E"/>
    <w:rsid w:val="44406799"/>
    <w:rsid w:val="444F0625"/>
    <w:rsid w:val="44507CD3"/>
    <w:rsid w:val="445B4B11"/>
    <w:rsid w:val="44613C8E"/>
    <w:rsid w:val="44786980"/>
    <w:rsid w:val="44BD34DD"/>
    <w:rsid w:val="44E42379"/>
    <w:rsid w:val="45453075"/>
    <w:rsid w:val="4558401B"/>
    <w:rsid w:val="456D26F5"/>
    <w:rsid w:val="457E36C4"/>
    <w:rsid w:val="458D5150"/>
    <w:rsid w:val="45A51959"/>
    <w:rsid w:val="45D51846"/>
    <w:rsid w:val="46053B6D"/>
    <w:rsid w:val="4606279C"/>
    <w:rsid w:val="464009CA"/>
    <w:rsid w:val="4654337F"/>
    <w:rsid w:val="465A753D"/>
    <w:rsid w:val="46733F28"/>
    <w:rsid w:val="46853E3A"/>
    <w:rsid w:val="469F7415"/>
    <w:rsid w:val="46EB783F"/>
    <w:rsid w:val="46FB5AF7"/>
    <w:rsid w:val="46FC3FCF"/>
    <w:rsid w:val="47195E2A"/>
    <w:rsid w:val="47645658"/>
    <w:rsid w:val="479959A4"/>
    <w:rsid w:val="479F21BB"/>
    <w:rsid w:val="47AB0ABF"/>
    <w:rsid w:val="47BE75C1"/>
    <w:rsid w:val="47E5636E"/>
    <w:rsid w:val="480F5247"/>
    <w:rsid w:val="48783354"/>
    <w:rsid w:val="48894BB5"/>
    <w:rsid w:val="488C06CF"/>
    <w:rsid w:val="48B979EC"/>
    <w:rsid w:val="48D914D5"/>
    <w:rsid w:val="48FA6149"/>
    <w:rsid w:val="49036196"/>
    <w:rsid w:val="49047B75"/>
    <w:rsid w:val="490B283F"/>
    <w:rsid w:val="492434DC"/>
    <w:rsid w:val="497D499A"/>
    <w:rsid w:val="4989182E"/>
    <w:rsid w:val="49B93C25"/>
    <w:rsid w:val="49BF3909"/>
    <w:rsid w:val="49CF3D92"/>
    <w:rsid w:val="49DA3DCD"/>
    <w:rsid w:val="49F509D5"/>
    <w:rsid w:val="49F97087"/>
    <w:rsid w:val="4A187D4C"/>
    <w:rsid w:val="4A425A9F"/>
    <w:rsid w:val="4A437992"/>
    <w:rsid w:val="4A4B6D70"/>
    <w:rsid w:val="4A6F158D"/>
    <w:rsid w:val="4A7B5341"/>
    <w:rsid w:val="4A8B5672"/>
    <w:rsid w:val="4A8B5ACC"/>
    <w:rsid w:val="4ABA6E68"/>
    <w:rsid w:val="4AE561DB"/>
    <w:rsid w:val="4B2F3F7F"/>
    <w:rsid w:val="4B302AD3"/>
    <w:rsid w:val="4B3317B5"/>
    <w:rsid w:val="4B3B5A5E"/>
    <w:rsid w:val="4B47288B"/>
    <w:rsid w:val="4B510DE4"/>
    <w:rsid w:val="4B5C51AF"/>
    <w:rsid w:val="4B6B1D8B"/>
    <w:rsid w:val="4B9E439E"/>
    <w:rsid w:val="4BC42D59"/>
    <w:rsid w:val="4BE3142D"/>
    <w:rsid w:val="4BF278C2"/>
    <w:rsid w:val="4BFB0FC4"/>
    <w:rsid w:val="4C213D03"/>
    <w:rsid w:val="4C215AB1"/>
    <w:rsid w:val="4C3F0553"/>
    <w:rsid w:val="4C4C5224"/>
    <w:rsid w:val="4C773E82"/>
    <w:rsid w:val="4C8F3363"/>
    <w:rsid w:val="4CC254E6"/>
    <w:rsid w:val="4CC27294"/>
    <w:rsid w:val="4CD243C2"/>
    <w:rsid w:val="4CDA2830"/>
    <w:rsid w:val="4D583754"/>
    <w:rsid w:val="4D9329DF"/>
    <w:rsid w:val="4DAD6239"/>
    <w:rsid w:val="4DAE095F"/>
    <w:rsid w:val="4DAE5A6A"/>
    <w:rsid w:val="4DD3727F"/>
    <w:rsid w:val="4E0472EF"/>
    <w:rsid w:val="4E1458CD"/>
    <w:rsid w:val="4E315603"/>
    <w:rsid w:val="4E431FA6"/>
    <w:rsid w:val="4E4E112E"/>
    <w:rsid w:val="4E5C1F29"/>
    <w:rsid w:val="4E637DE8"/>
    <w:rsid w:val="4EA27D46"/>
    <w:rsid w:val="4EAC0BDC"/>
    <w:rsid w:val="4EE01C28"/>
    <w:rsid w:val="4EFB6A76"/>
    <w:rsid w:val="4F4976F5"/>
    <w:rsid w:val="4F4977F9"/>
    <w:rsid w:val="4F702FD7"/>
    <w:rsid w:val="4F8E5B53"/>
    <w:rsid w:val="4FC33E8D"/>
    <w:rsid w:val="4FC43323"/>
    <w:rsid w:val="4FE13E9E"/>
    <w:rsid w:val="4FEE324C"/>
    <w:rsid w:val="4FF36569"/>
    <w:rsid w:val="4FF36959"/>
    <w:rsid w:val="50B07A86"/>
    <w:rsid w:val="51147713"/>
    <w:rsid w:val="511B51C5"/>
    <w:rsid w:val="512E4EF8"/>
    <w:rsid w:val="516C3454"/>
    <w:rsid w:val="516E1C65"/>
    <w:rsid w:val="51A1583A"/>
    <w:rsid w:val="51C27D36"/>
    <w:rsid w:val="51CD695E"/>
    <w:rsid w:val="5212481A"/>
    <w:rsid w:val="5221680B"/>
    <w:rsid w:val="522D4252"/>
    <w:rsid w:val="523C53F3"/>
    <w:rsid w:val="525F04A7"/>
    <w:rsid w:val="528C45CC"/>
    <w:rsid w:val="52A07049"/>
    <w:rsid w:val="52A13BC2"/>
    <w:rsid w:val="52A5743C"/>
    <w:rsid w:val="52AB0BCB"/>
    <w:rsid w:val="52C33D66"/>
    <w:rsid w:val="52ED0DE3"/>
    <w:rsid w:val="5314011E"/>
    <w:rsid w:val="532E1C4F"/>
    <w:rsid w:val="53786204"/>
    <w:rsid w:val="53841AA0"/>
    <w:rsid w:val="53CC0A1A"/>
    <w:rsid w:val="53F72CCF"/>
    <w:rsid w:val="54162551"/>
    <w:rsid w:val="543E202D"/>
    <w:rsid w:val="544E4CF4"/>
    <w:rsid w:val="54583802"/>
    <w:rsid w:val="54A6749B"/>
    <w:rsid w:val="54D264E2"/>
    <w:rsid w:val="5527238A"/>
    <w:rsid w:val="552B1F03"/>
    <w:rsid w:val="554A7E27"/>
    <w:rsid w:val="555920AA"/>
    <w:rsid w:val="556E4512"/>
    <w:rsid w:val="55E517F1"/>
    <w:rsid w:val="56105595"/>
    <w:rsid w:val="56550EBE"/>
    <w:rsid w:val="5684380C"/>
    <w:rsid w:val="568E01E7"/>
    <w:rsid w:val="569B0A2F"/>
    <w:rsid w:val="56A30260"/>
    <w:rsid w:val="56EFE108"/>
    <w:rsid w:val="57113B7B"/>
    <w:rsid w:val="574B30C6"/>
    <w:rsid w:val="578A30A4"/>
    <w:rsid w:val="57A85717"/>
    <w:rsid w:val="57B24A46"/>
    <w:rsid w:val="57D868F7"/>
    <w:rsid w:val="57DF5F8B"/>
    <w:rsid w:val="57E31981"/>
    <w:rsid w:val="581D38DF"/>
    <w:rsid w:val="587203FC"/>
    <w:rsid w:val="58860AD6"/>
    <w:rsid w:val="58900396"/>
    <w:rsid w:val="58A261CC"/>
    <w:rsid w:val="58C14A98"/>
    <w:rsid w:val="58DA0BBB"/>
    <w:rsid w:val="5932499A"/>
    <w:rsid w:val="59406843"/>
    <w:rsid w:val="59527BF2"/>
    <w:rsid w:val="598629F0"/>
    <w:rsid w:val="598754AC"/>
    <w:rsid w:val="59BE6C04"/>
    <w:rsid w:val="59D2488F"/>
    <w:rsid w:val="5A4B3F32"/>
    <w:rsid w:val="5A551748"/>
    <w:rsid w:val="5A587D48"/>
    <w:rsid w:val="5A833222"/>
    <w:rsid w:val="5A84202D"/>
    <w:rsid w:val="5AB95B19"/>
    <w:rsid w:val="5AC8016B"/>
    <w:rsid w:val="5B0E7FF7"/>
    <w:rsid w:val="5B8D6CBF"/>
    <w:rsid w:val="5B9B7CB4"/>
    <w:rsid w:val="5BB3628D"/>
    <w:rsid w:val="5BDE3EBC"/>
    <w:rsid w:val="5BE54D4D"/>
    <w:rsid w:val="5BF50912"/>
    <w:rsid w:val="5C2742D2"/>
    <w:rsid w:val="5C806824"/>
    <w:rsid w:val="5CB0535B"/>
    <w:rsid w:val="5CB5471F"/>
    <w:rsid w:val="5CE4729D"/>
    <w:rsid w:val="5D641CA2"/>
    <w:rsid w:val="5D7B044E"/>
    <w:rsid w:val="5D84417A"/>
    <w:rsid w:val="5D9A411F"/>
    <w:rsid w:val="5DB37EE1"/>
    <w:rsid w:val="5DF86567"/>
    <w:rsid w:val="5E28477B"/>
    <w:rsid w:val="5E4512ED"/>
    <w:rsid w:val="5E605C6F"/>
    <w:rsid w:val="5EBDC951"/>
    <w:rsid w:val="5F1D47FE"/>
    <w:rsid w:val="5F2A342A"/>
    <w:rsid w:val="5F2D7CFA"/>
    <w:rsid w:val="5F417953"/>
    <w:rsid w:val="5F6F098A"/>
    <w:rsid w:val="5F8B3350"/>
    <w:rsid w:val="5F965D8F"/>
    <w:rsid w:val="601479AF"/>
    <w:rsid w:val="602523B8"/>
    <w:rsid w:val="604E4CA2"/>
    <w:rsid w:val="605E6E7C"/>
    <w:rsid w:val="609774DA"/>
    <w:rsid w:val="60A54AAB"/>
    <w:rsid w:val="60B8658C"/>
    <w:rsid w:val="60BF3DBF"/>
    <w:rsid w:val="60E750C3"/>
    <w:rsid w:val="611E37D0"/>
    <w:rsid w:val="614D35A1"/>
    <w:rsid w:val="61900D0B"/>
    <w:rsid w:val="619611AA"/>
    <w:rsid w:val="61FB0E26"/>
    <w:rsid w:val="621870FC"/>
    <w:rsid w:val="623E6185"/>
    <w:rsid w:val="62465009"/>
    <w:rsid w:val="624B419B"/>
    <w:rsid w:val="624D53FA"/>
    <w:rsid w:val="62782672"/>
    <w:rsid w:val="62975818"/>
    <w:rsid w:val="62CB71C3"/>
    <w:rsid w:val="631F6952"/>
    <w:rsid w:val="632C14B3"/>
    <w:rsid w:val="632F0827"/>
    <w:rsid w:val="63513C36"/>
    <w:rsid w:val="635332D0"/>
    <w:rsid w:val="63534F55"/>
    <w:rsid w:val="63B94DA3"/>
    <w:rsid w:val="63C926FE"/>
    <w:rsid w:val="63E85902"/>
    <w:rsid w:val="642320E2"/>
    <w:rsid w:val="64AE26C6"/>
    <w:rsid w:val="64DE616D"/>
    <w:rsid w:val="65115F77"/>
    <w:rsid w:val="653F63C1"/>
    <w:rsid w:val="65A92D87"/>
    <w:rsid w:val="65C2575B"/>
    <w:rsid w:val="65CB5F69"/>
    <w:rsid w:val="65CF053B"/>
    <w:rsid w:val="65CF6F6D"/>
    <w:rsid w:val="65FA7296"/>
    <w:rsid w:val="664257CC"/>
    <w:rsid w:val="66495ED8"/>
    <w:rsid w:val="665C2DE4"/>
    <w:rsid w:val="666655CE"/>
    <w:rsid w:val="667165ED"/>
    <w:rsid w:val="66772A46"/>
    <w:rsid w:val="6684320A"/>
    <w:rsid w:val="66847450"/>
    <w:rsid w:val="66967370"/>
    <w:rsid w:val="66A979FF"/>
    <w:rsid w:val="66C33209"/>
    <w:rsid w:val="674616FA"/>
    <w:rsid w:val="675D530E"/>
    <w:rsid w:val="67966EFB"/>
    <w:rsid w:val="679E2C8B"/>
    <w:rsid w:val="67A96C2F"/>
    <w:rsid w:val="67DF4515"/>
    <w:rsid w:val="67EC408F"/>
    <w:rsid w:val="6809591F"/>
    <w:rsid w:val="68183DB4"/>
    <w:rsid w:val="684E5A28"/>
    <w:rsid w:val="685B2144"/>
    <w:rsid w:val="68632C80"/>
    <w:rsid w:val="686E696D"/>
    <w:rsid w:val="6931512E"/>
    <w:rsid w:val="69364FAC"/>
    <w:rsid w:val="694E2184"/>
    <w:rsid w:val="697B284D"/>
    <w:rsid w:val="698E2580"/>
    <w:rsid w:val="69D65CD5"/>
    <w:rsid w:val="69F525FF"/>
    <w:rsid w:val="6A2E3D63"/>
    <w:rsid w:val="6A5D4A86"/>
    <w:rsid w:val="6A6112FA"/>
    <w:rsid w:val="6A997170"/>
    <w:rsid w:val="6AA84736"/>
    <w:rsid w:val="6AB57FE0"/>
    <w:rsid w:val="6AEB4C9C"/>
    <w:rsid w:val="6AEC6E97"/>
    <w:rsid w:val="6AEE71B5"/>
    <w:rsid w:val="6B243EA1"/>
    <w:rsid w:val="6B27617D"/>
    <w:rsid w:val="6B3B01E5"/>
    <w:rsid w:val="6BB13EC7"/>
    <w:rsid w:val="6BBC4607"/>
    <w:rsid w:val="6BC56001"/>
    <w:rsid w:val="6BCD24C9"/>
    <w:rsid w:val="6BD43675"/>
    <w:rsid w:val="6BD61FBC"/>
    <w:rsid w:val="6BED7707"/>
    <w:rsid w:val="6BF608B1"/>
    <w:rsid w:val="6BF74358"/>
    <w:rsid w:val="6C3B4728"/>
    <w:rsid w:val="6C526BE9"/>
    <w:rsid w:val="6C5C4BB7"/>
    <w:rsid w:val="6C8612C2"/>
    <w:rsid w:val="6CB239D6"/>
    <w:rsid w:val="6CEE3E0C"/>
    <w:rsid w:val="6D8D685C"/>
    <w:rsid w:val="6D9263B7"/>
    <w:rsid w:val="6D995997"/>
    <w:rsid w:val="6DB6785C"/>
    <w:rsid w:val="6DC74A88"/>
    <w:rsid w:val="6E0D26C5"/>
    <w:rsid w:val="6E0E7420"/>
    <w:rsid w:val="6E0F4BB0"/>
    <w:rsid w:val="6E1468CC"/>
    <w:rsid w:val="6E296D1B"/>
    <w:rsid w:val="6E954194"/>
    <w:rsid w:val="6E9C129B"/>
    <w:rsid w:val="6EA53B85"/>
    <w:rsid w:val="6EB61321"/>
    <w:rsid w:val="6EE227A2"/>
    <w:rsid w:val="6F220FF2"/>
    <w:rsid w:val="6F26452C"/>
    <w:rsid w:val="6F2E3EBD"/>
    <w:rsid w:val="6F4B4A6F"/>
    <w:rsid w:val="6F8D7A3C"/>
    <w:rsid w:val="6FAC7C04"/>
    <w:rsid w:val="6FB9748B"/>
    <w:rsid w:val="6FD76303"/>
    <w:rsid w:val="6FF11ABB"/>
    <w:rsid w:val="6FF1213A"/>
    <w:rsid w:val="6FFC5DA3"/>
    <w:rsid w:val="6FFE435F"/>
    <w:rsid w:val="6FFEB3E0"/>
    <w:rsid w:val="6FFF5CCE"/>
    <w:rsid w:val="7016507D"/>
    <w:rsid w:val="70195FCD"/>
    <w:rsid w:val="70291255"/>
    <w:rsid w:val="70521966"/>
    <w:rsid w:val="70A628A5"/>
    <w:rsid w:val="70DD5B9B"/>
    <w:rsid w:val="70ED047D"/>
    <w:rsid w:val="7113780F"/>
    <w:rsid w:val="71151141"/>
    <w:rsid w:val="712706EE"/>
    <w:rsid w:val="71306870"/>
    <w:rsid w:val="71355287"/>
    <w:rsid w:val="713A123F"/>
    <w:rsid w:val="713F23B2"/>
    <w:rsid w:val="71881333"/>
    <w:rsid w:val="71A9193B"/>
    <w:rsid w:val="71DE6D28"/>
    <w:rsid w:val="725B51C4"/>
    <w:rsid w:val="7260609B"/>
    <w:rsid w:val="729A7263"/>
    <w:rsid w:val="729D5972"/>
    <w:rsid w:val="72A37F56"/>
    <w:rsid w:val="72F773E8"/>
    <w:rsid w:val="72F96CB0"/>
    <w:rsid w:val="73247A02"/>
    <w:rsid w:val="73316424"/>
    <w:rsid w:val="73614861"/>
    <w:rsid w:val="73700F48"/>
    <w:rsid w:val="73964142"/>
    <w:rsid w:val="73A225C1"/>
    <w:rsid w:val="73A90B40"/>
    <w:rsid w:val="73AD5CF9"/>
    <w:rsid w:val="73B11902"/>
    <w:rsid w:val="73D72923"/>
    <w:rsid w:val="73EA3A54"/>
    <w:rsid w:val="74151E00"/>
    <w:rsid w:val="741C1DA4"/>
    <w:rsid w:val="74455F31"/>
    <w:rsid w:val="74881B72"/>
    <w:rsid w:val="74A46856"/>
    <w:rsid w:val="74C50C44"/>
    <w:rsid w:val="74FD7E4E"/>
    <w:rsid w:val="750970BB"/>
    <w:rsid w:val="751C3136"/>
    <w:rsid w:val="7555324A"/>
    <w:rsid w:val="75803660"/>
    <w:rsid w:val="758147E1"/>
    <w:rsid w:val="75951AF7"/>
    <w:rsid w:val="76065B94"/>
    <w:rsid w:val="76077B22"/>
    <w:rsid w:val="7609617C"/>
    <w:rsid w:val="76530156"/>
    <w:rsid w:val="7677439C"/>
    <w:rsid w:val="76A10290"/>
    <w:rsid w:val="76A642E4"/>
    <w:rsid w:val="76C04026"/>
    <w:rsid w:val="76CB2EF2"/>
    <w:rsid w:val="76D140BE"/>
    <w:rsid w:val="76DF161D"/>
    <w:rsid w:val="76F35625"/>
    <w:rsid w:val="77006109"/>
    <w:rsid w:val="771704DD"/>
    <w:rsid w:val="77302EC9"/>
    <w:rsid w:val="77521091"/>
    <w:rsid w:val="77593664"/>
    <w:rsid w:val="77636D28"/>
    <w:rsid w:val="777DB8F1"/>
    <w:rsid w:val="77C022E8"/>
    <w:rsid w:val="77C875A5"/>
    <w:rsid w:val="77D61CE5"/>
    <w:rsid w:val="77F5282B"/>
    <w:rsid w:val="781453F9"/>
    <w:rsid w:val="78654DF4"/>
    <w:rsid w:val="788D17D5"/>
    <w:rsid w:val="78940BF3"/>
    <w:rsid w:val="789A01AD"/>
    <w:rsid w:val="789D668E"/>
    <w:rsid w:val="78A83684"/>
    <w:rsid w:val="78B418D7"/>
    <w:rsid w:val="791447AA"/>
    <w:rsid w:val="79A84E8B"/>
    <w:rsid w:val="79C8563A"/>
    <w:rsid w:val="7A052E19"/>
    <w:rsid w:val="7A2D36EF"/>
    <w:rsid w:val="7A4B0019"/>
    <w:rsid w:val="7A717E58"/>
    <w:rsid w:val="7ACD3DAC"/>
    <w:rsid w:val="7AD63B28"/>
    <w:rsid w:val="7AEF6BF7"/>
    <w:rsid w:val="7AF00FBF"/>
    <w:rsid w:val="7B120978"/>
    <w:rsid w:val="7B3C6EFC"/>
    <w:rsid w:val="7B3F6139"/>
    <w:rsid w:val="7B424F78"/>
    <w:rsid w:val="7B503B39"/>
    <w:rsid w:val="7B960874"/>
    <w:rsid w:val="7BAB196E"/>
    <w:rsid w:val="7BDC0473"/>
    <w:rsid w:val="7BE95D3C"/>
    <w:rsid w:val="7C0E7048"/>
    <w:rsid w:val="7C24094F"/>
    <w:rsid w:val="7C4028DA"/>
    <w:rsid w:val="7C43369E"/>
    <w:rsid w:val="7C6953BB"/>
    <w:rsid w:val="7C6C18B0"/>
    <w:rsid w:val="7CC3033B"/>
    <w:rsid w:val="7CC83BA3"/>
    <w:rsid w:val="7CD95DB0"/>
    <w:rsid w:val="7CEF349F"/>
    <w:rsid w:val="7CF8F9F5"/>
    <w:rsid w:val="7D012C11"/>
    <w:rsid w:val="7D6F401F"/>
    <w:rsid w:val="7DBB52F4"/>
    <w:rsid w:val="7DD32800"/>
    <w:rsid w:val="7DF05160"/>
    <w:rsid w:val="7E5316BF"/>
    <w:rsid w:val="7E694F12"/>
    <w:rsid w:val="7EA128FE"/>
    <w:rsid w:val="7ECA128F"/>
    <w:rsid w:val="7EDC3936"/>
    <w:rsid w:val="7EF42104"/>
    <w:rsid w:val="7F183ECC"/>
    <w:rsid w:val="7F5E434B"/>
    <w:rsid w:val="7F732443"/>
    <w:rsid w:val="7F7B4EFD"/>
    <w:rsid w:val="7F967F89"/>
    <w:rsid w:val="7F9F1C26"/>
    <w:rsid w:val="7FCC62F6"/>
    <w:rsid w:val="7FFF4EB8"/>
    <w:rsid w:val="DD735E92"/>
    <w:rsid w:val="EB4D0B73"/>
    <w:rsid w:val="EFFD0C12"/>
    <w:rsid w:val="F5778744"/>
    <w:rsid w:val="F5DF0840"/>
    <w:rsid w:val="FCF62434"/>
    <w:rsid w:val="FEF61843"/>
    <w:rsid w:val="FFCFCDF5"/>
    <w:rsid w:val="FFEED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240" w:after="120" w:line="440" w:lineRule="exact"/>
      <w:jc w:val="center"/>
      <w:outlineLvl w:val="0"/>
    </w:pPr>
    <w:rPr>
      <w:rFonts w:ascii="Times New Roman" w:hAnsi="Times New Roman" w:eastAsia="黑体"/>
      <w:b/>
      <w:bCs/>
      <w:color w:val="385723" w:themeColor="accent6" w:themeShade="80"/>
      <w:kern w:val="44"/>
      <w:sz w:val="30"/>
      <w:szCs w:val="30"/>
    </w:rPr>
  </w:style>
  <w:style w:type="paragraph" w:styleId="5">
    <w:name w:val="heading 2"/>
    <w:basedOn w:val="1"/>
    <w:next w:val="1"/>
    <w:link w:val="39"/>
    <w:unhideWhenUsed/>
    <w:qFormat/>
    <w:uiPriority w:val="9"/>
    <w:pPr>
      <w:keepNext/>
      <w:keepLines/>
      <w:spacing w:before="120" w:after="120" w:line="440" w:lineRule="exact"/>
      <w:jc w:val="left"/>
      <w:outlineLvl w:val="1"/>
    </w:pPr>
    <w:rPr>
      <w:rFonts w:ascii="Times New Roman" w:hAnsi="Times New Roman" w:eastAsia="黑体" w:cstheme="majorBidi"/>
      <w:b/>
      <w:bCs/>
      <w:color w:val="385723" w:themeColor="accent6" w:themeShade="80"/>
      <w:sz w:val="28"/>
      <w:szCs w:val="28"/>
    </w:rPr>
  </w:style>
  <w:style w:type="paragraph" w:styleId="6">
    <w:name w:val="heading 3"/>
    <w:basedOn w:val="1"/>
    <w:next w:val="1"/>
    <w:link w:val="41"/>
    <w:unhideWhenUsed/>
    <w:qFormat/>
    <w:uiPriority w:val="9"/>
    <w:pPr>
      <w:keepNext/>
      <w:keepLines/>
      <w:spacing w:before="80" w:after="80" w:line="440" w:lineRule="exact"/>
      <w:jc w:val="left"/>
      <w:outlineLvl w:val="2"/>
    </w:pPr>
    <w:rPr>
      <w:rFonts w:ascii="Times New Roman" w:hAnsi="Times New Roman" w:eastAsia="黑体"/>
      <w:b/>
      <w:bCs/>
      <w:color w:val="385723" w:themeColor="accent6" w:themeShade="80"/>
      <w:sz w:val="24"/>
      <w:szCs w:val="24"/>
    </w:rPr>
  </w:style>
  <w:style w:type="paragraph" w:styleId="7">
    <w:name w:val="heading 4"/>
    <w:basedOn w:val="8"/>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1"/>
    <w:unhideWhenUsed/>
    <w:qFormat/>
    <w:uiPriority w:val="99"/>
    <w:pPr>
      <w:ind w:firstLine="420" w:firstLineChars="200"/>
    </w:pPr>
    <w:rPr>
      <w:rFonts w:hint="eastAsia" w:ascii="等线" w:hAnsi="等线" w:eastAsia="等线" w:cs="Times New Roman"/>
    </w:rPr>
  </w:style>
  <w:style w:type="paragraph" w:styleId="3">
    <w:name w:val="Body Text Indent"/>
    <w:basedOn w:val="1"/>
    <w:link w:val="50"/>
    <w:semiHidden/>
    <w:unhideWhenUsed/>
    <w:qFormat/>
    <w:uiPriority w:val="99"/>
    <w:pPr>
      <w:spacing w:after="120"/>
      <w:ind w:left="420" w:leftChars="200"/>
    </w:pPr>
  </w:style>
  <w:style w:type="paragraph" w:styleId="8">
    <w:name w:val="List Paragraph"/>
    <w:basedOn w:val="1"/>
    <w:qFormat/>
    <w:uiPriority w:val="34"/>
    <w:pPr>
      <w:ind w:firstLine="420" w:firstLineChars="200"/>
    </w:pPr>
  </w:style>
  <w:style w:type="paragraph" w:styleId="9">
    <w:name w:val="caption"/>
    <w:basedOn w:val="1"/>
    <w:next w:val="1"/>
    <w:unhideWhenUsed/>
    <w:qFormat/>
    <w:uiPriority w:val="0"/>
    <w:rPr>
      <w:rFonts w:eastAsia="黑体" w:asciiTheme="majorHAnsi" w:hAnsiTheme="majorHAnsi" w:cstheme="majorBidi"/>
      <w:sz w:val="20"/>
      <w:szCs w:val="20"/>
    </w:rPr>
  </w:style>
  <w:style w:type="paragraph" w:styleId="10">
    <w:name w:val="annotation text"/>
    <w:basedOn w:val="1"/>
    <w:link w:val="30"/>
    <w:semiHidden/>
    <w:unhideWhenUsed/>
    <w:qFormat/>
    <w:uiPriority w:val="99"/>
    <w:pPr>
      <w:jc w:val="left"/>
    </w:pPr>
    <w:rPr>
      <w:rFonts w:hint="eastAsia" w:ascii="等线" w:hAnsi="等线" w:eastAsia="等线" w:cs="Times New Roman"/>
    </w:rPr>
  </w:style>
  <w:style w:type="paragraph" w:styleId="11">
    <w:name w:val="toc 3"/>
    <w:basedOn w:val="1"/>
    <w:next w:val="1"/>
    <w:unhideWhenUsed/>
    <w:qFormat/>
    <w:uiPriority w:val="39"/>
    <w:pPr>
      <w:ind w:left="840" w:leftChars="400"/>
    </w:pPr>
  </w:style>
  <w:style w:type="paragraph" w:styleId="12">
    <w:name w:val="endnote text"/>
    <w:basedOn w:val="1"/>
    <w:link w:val="32"/>
    <w:semiHidden/>
    <w:unhideWhenUsed/>
    <w:qFormat/>
    <w:uiPriority w:val="99"/>
    <w:pPr>
      <w:snapToGrid w:val="0"/>
      <w:jc w:val="left"/>
    </w:pPr>
    <w:rPr>
      <w:szCs w:val="24"/>
    </w:rPr>
  </w:style>
  <w:style w:type="paragraph" w:styleId="13">
    <w:name w:val="Balloon Text"/>
    <w:basedOn w:val="1"/>
    <w:link w:val="35"/>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qFormat/>
    <w:uiPriority w:val="0"/>
    <w:pPr>
      <w:ind w:left="1260" w:leftChars="600"/>
    </w:pPr>
  </w:style>
  <w:style w:type="paragraph" w:styleId="18">
    <w:name w:val="footnote text"/>
    <w:basedOn w:val="1"/>
    <w:semiHidden/>
    <w:unhideWhenUsed/>
    <w:qFormat/>
    <w:uiPriority w:val="99"/>
    <w:pPr>
      <w:snapToGrid w:val="0"/>
      <w:jc w:val="left"/>
    </w:pPr>
    <w:rPr>
      <w:sz w:val="18"/>
    </w:rPr>
  </w:style>
  <w:style w:type="paragraph" w:styleId="19">
    <w:name w:val="toc 2"/>
    <w:basedOn w:val="1"/>
    <w:next w:val="1"/>
    <w:unhideWhenUsed/>
    <w:qFormat/>
    <w:uiPriority w:val="39"/>
    <w:pPr>
      <w:ind w:left="420" w:leftChars="200"/>
    </w:pPr>
  </w:style>
  <w:style w:type="paragraph" w:styleId="20">
    <w:name w:val="Normal (Web)"/>
    <w:basedOn w:val="1"/>
    <w:semiHidden/>
    <w:unhideWhenUsed/>
    <w:qFormat/>
    <w:uiPriority w:val="99"/>
    <w:rPr>
      <w:rFonts w:ascii="Times New Roman" w:hAnsi="Times New Roman" w:cs="Times New Roman"/>
      <w:sz w:val="24"/>
      <w:szCs w:val="24"/>
    </w:rPr>
  </w:style>
  <w:style w:type="paragraph" w:styleId="21">
    <w:name w:val="annotation subject"/>
    <w:basedOn w:val="10"/>
    <w:next w:val="10"/>
    <w:link w:val="31"/>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Shading 2 Accent 5"/>
    <w:basedOn w:val="22"/>
    <w:qFormat/>
    <w:uiPriority w:val="64"/>
    <w:rPr>
      <w:sz w:val="22"/>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6">
    <w:name w:val="endnote reference"/>
    <w:basedOn w:val="25"/>
    <w:semiHidden/>
    <w:unhideWhenUsed/>
    <w:qFormat/>
    <w:uiPriority w:val="99"/>
    <w:rPr>
      <w:vertAlign w:val="superscript"/>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styleId="29">
    <w:name w:val="footnote reference"/>
    <w:basedOn w:val="25"/>
    <w:semiHidden/>
    <w:unhideWhenUsed/>
    <w:qFormat/>
    <w:uiPriority w:val="99"/>
    <w:rPr>
      <w:vertAlign w:val="superscript"/>
    </w:rPr>
  </w:style>
  <w:style w:type="character" w:customStyle="1" w:styleId="30">
    <w:name w:val="批注文字 字符"/>
    <w:basedOn w:val="25"/>
    <w:link w:val="10"/>
    <w:semiHidden/>
    <w:qFormat/>
    <w:uiPriority w:val="99"/>
  </w:style>
  <w:style w:type="character" w:customStyle="1" w:styleId="31">
    <w:name w:val="批注主题 字符"/>
    <w:basedOn w:val="30"/>
    <w:link w:val="21"/>
    <w:semiHidden/>
    <w:qFormat/>
    <w:uiPriority w:val="99"/>
    <w:rPr>
      <w:b/>
      <w:bCs/>
    </w:rPr>
  </w:style>
  <w:style w:type="character" w:customStyle="1" w:styleId="32">
    <w:name w:val="尾注文本 字符"/>
    <w:basedOn w:val="25"/>
    <w:link w:val="12"/>
    <w:semiHidden/>
    <w:qFormat/>
    <w:uiPriority w:val="99"/>
    <w:rPr>
      <w:szCs w:val="24"/>
    </w:rPr>
  </w:style>
  <w:style w:type="character" w:customStyle="1" w:styleId="33">
    <w:name w:val="页眉 字符"/>
    <w:basedOn w:val="25"/>
    <w:link w:val="15"/>
    <w:qFormat/>
    <w:uiPriority w:val="99"/>
    <w:rPr>
      <w:sz w:val="18"/>
      <w:szCs w:val="18"/>
    </w:rPr>
  </w:style>
  <w:style w:type="character" w:customStyle="1" w:styleId="34">
    <w:name w:val="页脚 字符"/>
    <w:basedOn w:val="25"/>
    <w:link w:val="14"/>
    <w:qFormat/>
    <w:uiPriority w:val="99"/>
    <w:rPr>
      <w:sz w:val="18"/>
      <w:szCs w:val="18"/>
    </w:rPr>
  </w:style>
  <w:style w:type="character" w:customStyle="1" w:styleId="35">
    <w:name w:val="批注框文本 字符"/>
    <w:basedOn w:val="25"/>
    <w:link w:val="13"/>
    <w:semiHidden/>
    <w:qFormat/>
    <w:uiPriority w:val="99"/>
    <w:rPr>
      <w:sz w:val="18"/>
      <w:szCs w:val="18"/>
    </w:rPr>
  </w:style>
  <w:style w:type="paragraph" w:customStyle="1" w:styleId="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标题 2 字符"/>
    <w:basedOn w:val="25"/>
    <w:link w:val="5"/>
    <w:qFormat/>
    <w:uiPriority w:val="9"/>
    <w:rPr>
      <w:rFonts w:ascii="Times New Roman" w:hAnsi="Times New Roman" w:eastAsia="黑体" w:cstheme="majorBidi"/>
      <w:b/>
      <w:bCs/>
      <w:color w:val="385723" w:themeColor="accent6" w:themeShade="80"/>
      <w:sz w:val="28"/>
      <w:szCs w:val="28"/>
    </w:rPr>
  </w:style>
  <w:style w:type="character" w:customStyle="1" w:styleId="40">
    <w:name w:val="标题 1 字符"/>
    <w:basedOn w:val="25"/>
    <w:link w:val="4"/>
    <w:qFormat/>
    <w:uiPriority w:val="9"/>
    <w:rPr>
      <w:rFonts w:ascii="Times New Roman" w:hAnsi="Times New Roman" w:eastAsia="黑体"/>
      <w:b/>
      <w:bCs/>
      <w:color w:val="385723" w:themeColor="accent6" w:themeShade="80"/>
      <w:kern w:val="44"/>
      <w:sz w:val="30"/>
      <w:szCs w:val="30"/>
    </w:rPr>
  </w:style>
  <w:style w:type="character" w:customStyle="1" w:styleId="41">
    <w:name w:val="标题 3 字符"/>
    <w:basedOn w:val="25"/>
    <w:link w:val="6"/>
    <w:qFormat/>
    <w:uiPriority w:val="9"/>
    <w:rPr>
      <w:rFonts w:ascii="Times New Roman" w:hAnsi="Times New Roman" w:eastAsia="黑体"/>
      <w:b/>
      <w:bCs/>
      <w:color w:val="385723" w:themeColor="accent6" w:themeShade="80"/>
      <w:sz w:val="24"/>
      <w:szCs w:val="24"/>
    </w:rPr>
  </w:style>
  <w:style w:type="character" w:customStyle="1" w:styleId="42">
    <w:name w:val="标题 4 字符"/>
    <w:basedOn w:val="25"/>
    <w:link w:val="7"/>
    <w:qFormat/>
    <w:uiPriority w:val="9"/>
    <w:rPr>
      <w:rFonts w:asciiTheme="majorHAnsi" w:hAnsiTheme="majorHAnsi" w:eastAsiaTheme="majorEastAsia" w:cstheme="majorBidi"/>
      <w:b/>
      <w:bCs/>
      <w:sz w:val="28"/>
      <w:szCs w:val="28"/>
    </w:rPr>
  </w:style>
  <w:style w:type="table" w:customStyle="1" w:styleId="43">
    <w:name w:val="网格表 4 - 着色 61"/>
    <w:basedOn w:val="22"/>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
    <w:name w:val="网格型2"/>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TOC 标题1"/>
    <w:basedOn w:val="4"/>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46">
    <w:name w:val="网格型3"/>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4"/>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5"/>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样式2"/>
    <w:basedOn w:val="22"/>
    <w:qFormat/>
    <w:uiPriority w:val="99"/>
    <w:rPr>
      <w:rFonts w:eastAsia="楷体"/>
      <w:sz w:val="22"/>
    </w:rPr>
    <w:tblPr>
      <w:jc w:val="center"/>
    </w:tblPr>
    <w:trPr>
      <w:jc w:val="center"/>
    </w:trPr>
    <w:tcPr>
      <w:vAlign w:val="center"/>
    </w:tcPr>
    <w:tblStylePr w:type="firstRow">
      <w:tcPr>
        <w:tcBorders>
          <w:top w:val="nil"/>
          <w:left w:val="nil"/>
          <w:bottom w:val="single" w:color="auto" w:sz="12" w:space="0"/>
          <w:right w:val="nil"/>
          <w:insideH w:val="nil"/>
          <w:insideV w:val="nil"/>
          <w:tl2br w:val="nil"/>
          <w:tr2bl w:val="nil"/>
        </w:tcBorders>
        <w:shd w:val="clear" w:color="auto" w:fill="E7E6E6"/>
      </w:tcPr>
    </w:tblStylePr>
    <w:tblStylePr w:type="lastRow">
      <w:tcPr>
        <w:tcBorders>
          <w:top w:val="nil"/>
          <w:left w:val="nil"/>
          <w:bottom w:val="single" w:color="auto" w:sz="12" w:space="0"/>
          <w:right w:val="nil"/>
          <w:insideH w:val="nil"/>
          <w:insideV w:val="nil"/>
          <w:tl2br w:val="nil"/>
          <w:tr2bl w:val="nil"/>
        </w:tcBorders>
      </w:tcPr>
    </w:tblStylePr>
    <w:tblStylePr w:type="firstCol">
      <w:tcPr>
        <w:shd w:val="clear" w:color="auto" w:fill="E7E6E6"/>
      </w:tcPr>
    </w:tblStylePr>
  </w:style>
  <w:style w:type="character" w:customStyle="1" w:styleId="50">
    <w:name w:val="正文文本缩进 字符"/>
    <w:basedOn w:val="25"/>
    <w:link w:val="3"/>
    <w:semiHidden/>
    <w:qFormat/>
    <w:uiPriority w:val="99"/>
  </w:style>
  <w:style w:type="character" w:customStyle="1" w:styleId="51">
    <w:name w:val="正文文本首行缩进 2 字符"/>
    <w:basedOn w:val="50"/>
    <w:link w:val="2"/>
    <w:qFormat/>
    <w:uiPriority w:val="99"/>
  </w:style>
  <w:style w:type="table" w:customStyle="1" w:styleId="52">
    <w:name w:val="清单表 4 - 着色 61"/>
    <w:basedOn w:val="22"/>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customStyle="1" w:styleId="5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4">
    <w:name w:val="图表标题"/>
    <w:basedOn w:val="1"/>
    <w:link w:val="55"/>
    <w:qFormat/>
    <w:uiPriority w:val="0"/>
    <w:pPr>
      <w:spacing w:line="440" w:lineRule="exact"/>
      <w:jc w:val="center"/>
    </w:pPr>
    <w:rPr>
      <w:rFonts w:cstheme="minorEastAsia"/>
      <w:szCs w:val="21"/>
    </w:rPr>
  </w:style>
  <w:style w:type="character" w:customStyle="1" w:styleId="55">
    <w:name w:val="图表标题 Char"/>
    <w:link w:val="54"/>
    <w:qFormat/>
    <w:uiPriority w:val="0"/>
    <w:rPr>
      <w:rFonts w:cstheme="minorEastAsia"/>
      <w:kern w:val="2"/>
      <w:sz w:val="21"/>
      <w:szCs w:val="21"/>
    </w:rPr>
  </w:style>
  <w:style w:type="paragraph" w:customStyle="1" w:styleId="56">
    <w:name w:val="图标题"/>
    <w:basedOn w:val="1"/>
    <w:link w:val="62"/>
    <w:qFormat/>
    <w:uiPriority w:val="0"/>
    <w:pPr>
      <w:spacing w:line="360" w:lineRule="auto"/>
      <w:jc w:val="center"/>
      <w:outlineLvl w:val="4"/>
    </w:pPr>
    <w:rPr>
      <w:rFonts w:cstheme="minorEastAsia"/>
      <w:szCs w:val="21"/>
    </w:rPr>
  </w:style>
  <w:style w:type="paragraph" w:customStyle="1" w:styleId="57">
    <w:name w:val="表标题"/>
    <w:basedOn w:val="56"/>
    <w:link w:val="61"/>
    <w:qFormat/>
    <w:uiPriority w:val="0"/>
    <w:rPr>
      <w:rFonts w:eastAsia="宋体" w:cs="宋体"/>
    </w:rPr>
  </w:style>
  <w:style w:type="table" w:customStyle="1" w:styleId="58">
    <w:name w:val="网格型7"/>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List Paragraph1"/>
    <w:basedOn w:val="1"/>
    <w:qFormat/>
    <w:uiPriority w:val="0"/>
    <w:pPr>
      <w:ind w:firstLine="420" w:firstLineChars="200"/>
    </w:pPr>
    <w:rPr>
      <w:rFonts w:ascii="Calibri" w:hAnsi="Calibri" w:eastAsia="宋体" w:cs="Times New Roman"/>
      <w:szCs w:val="21"/>
    </w:rPr>
  </w:style>
  <w:style w:type="paragraph" w:customStyle="1" w:styleId="6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1">
    <w:name w:val="表标题 字符"/>
    <w:basedOn w:val="62"/>
    <w:link w:val="57"/>
    <w:qFormat/>
    <w:uiPriority w:val="0"/>
    <w:rPr>
      <w:rFonts w:eastAsia="宋体" w:cs="宋体"/>
      <w:szCs w:val="21"/>
    </w:rPr>
  </w:style>
  <w:style w:type="character" w:customStyle="1" w:styleId="62">
    <w:name w:val="图标题 字符"/>
    <w:link w:val="56"/>
    <w:qFormat/>
    <w:uiPriority w:val="0"/>
    <w:rPr>
      <w:rFonts w:cstheme="minorEastAsia"/>
      <w:szCs w:val="21"/>
    </w:rPr>
  </w:style>
  <w:style w:type="paragraph" w:customStyle="1" w:styleId="6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4">
    <w:name w:val="修订5"/>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5">
    <w:name w:val="清单表 3 - 着色 51"/>
    <w:basedOn w:val="22"/>
    <w:qFormat/>
    <w:uiPriority w:val="48"/>
    <w:tblPr>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14:textFill>
          <w14:solidFill>
            <w14:schemeClr w14:val="bg1"/>
          </w14:solidFill>
        </w14:textFill>
      </w:rPr>
      <w:tcPr>
        <w:shd w:val="clear" w:color="auto" w:fill="5B9BD5" w:themeFill="accent5"/>
      </w:tcPr>
    </w:tblStylePr>
    <w:tblStylePr w:type="lastRow">
      <w:rPr>
        <w:b/>
        <w:bCs/>
      </w:rPr>
      <w:tcPr>
        <w:tcBorders>
          <w:top w:val="double" w:color="5B9BD5"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5" w:sz="4" w:space="0"/>
          <w:right w:val="single" w:color="5B9BD5" w:themeColor="accent5" w:sz="4" w:space="0"/>
        </w:tcBorders>
      </w:tcPr>
    </w:tblStylePr>
    <w:tblStylePr w:type="band1Horz">
      <w:tcPr>
        <w:tcBorders>
          <w:top w:val="single" w:color="5B9BD5" w:themeColor="accent5" w:sz="4" w:space="0"/>
          <w:bottom w:val="single" w:color="5B9BD5"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5" w:sz="4" w:space="0"/>
          <w:left w:val="nil"/>
        </w:tcBorders>
      </w:tcPr>
    </w:tblStylePr>
    <w:tblStylePr w:type="swCell">
      <w:tcPr>
        <w:tcBorders>
          <w:top w:val="double" w:color="5B9BD5" w:themeColor="accent5" w:sz="4" w:space="0"/>
          <w:right w:val="nil"/>
        </w:tcBorders>
      </w:tcPr>
    </w:tblStylePr>
  </w:style>
  <w:style w:type="paragraph" w:customStyle="1" w:styleId="66">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7">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8">
    <w:name w:val="Revision"/>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69">
    <w:name w:val="Grid Table 4 Accent 1"/>
    <w:basedOn w:val="22"/>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0">
    <w:name w:val="Grid Table 4 Accent 5"/>
    <w:basedOn w:val="22"/>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71">
    <w:name w:val="网格表 4 - 着色 51"/>
    <w:basedOn w:val="22"/>
    <w:qFormat/>
    <w:uiPriority w:val="0"/>
    <w:rPr>
      <w:rFonts w:eastAsia="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rFonts w:hint="default" w:ascii="Times New Roman" w:hAnsi="Times New Roman" w:cs="Times New Roman"/>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rFonts w:hint="default" w:ascii="Times New Roman" w:hAnsi="Times New Roman" w:cs="Times New Roman"/>
        <w:b/>
        <w:bCs/>
      </w:rPr>
      <w:tcPr>
        <w:tcBorders>
          <w:top w:val="double" w:color="5B9BD5" w:sz="2"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shd w:val="clear" w:color="auto" w:fill="DEEAF6"/>
      </w:tcPr>
    </w:tblStylePr>
    <w:tblStylePr w:type="band1Horz">
      <w:tcPr>
        <w:shd w:val="clear" w:color="auto" w:fill="DEEAF6"/>
      </w:tcPr>
    </w:tblStylePr>
  </w:style>
  <w:style w:type="paragraph" w:customStyle="1" w:styleId="72">
    <w:name w:val="正文首行缩进 21"/>
    <w:basedOn w:val="3"/>
    <w:semiHidden/>
    <w:qFormat/>
    <w:uiPriority w:val="0"/>
    <w:pPr>
      <w:spacing w:before="100" w:beforeAutospacing="1"/>
      <w:ind w:firstLine="420" w:firstLineChars="200"/>
    </w:pPr>
    <w:rPr>
      <w:rFonts w:ascii="等线" w:hAnsi="等线" w:eastAsia="等线" w:cs="Times New Roman"/>
      <w:szCs w:val="21"/>
    </w:rPr>
  </w:style>
  <w:style w:type="paragraph" w:customStyle="1" w:styleId="73">
    <w:name w:val="列表段落1"/>
    <w:basedOn w:val="1"/>
    <w:qFormat/>
    <w:uiPriority w:val="0"/>
    <w:pPr>
      <w:ind w:firstLine="420" w:firstLineChars="200"/>
    </w:pPr>
    <w:rPr>
      <w:rFonts w:ascii="等线" w:hAnsi="等线" w:eastAsia="等线" w:cs="Times New Roman"/>
      <w:szCs w:val="21"/>
    </w:rPr>
  </w:style>
  <w:style w:type="table" w:customStyle="1" w:styleId="74">
    <w:name w:val="Grid Table 3 Accent 5"/>
    <w:basedOn w:val="22"/>
    <w:qFormat/>
    <w:uiPriority w:val="48"/>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75">
    <w:name w:val="Grid Table 2 Accent 5"/>
    <w:basedOn w:val="22"/>
    <w:qFormat/>
    <w:uiPriority w:val="47"/>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76">
    <w:name w:val="List Table 1 Light Accent 5"/>
    <w:basedOn w:val="22"/>
    <w:qFormat/>
    <w:uiPriority w:val="46"/>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8311D94-22D7-4839-ABD8-E24ED8EA5142}" type="doc">
      <dgm:prSet loTypeId="urn:microsoft.com/office/officeart/2005/8/layout/list1#2" loCatId="list" qsTypeId="urn:microsoft.com/office/officeart/2005/8/quickstyle/simple1#2" qsCatId="simple" csTypeId="urn:microsoft.com/office/officeart/2005/8/colors/accent5_1" csCatId="accent5" phldr="1"/>
      <dgm:spPr/>
      <dgm:t>
        <a:bodyPr/>
        <a:p>
          <a:endParaRPr lang="zh-CN" altLang="en-US"/>
        </a:p>
      </dgm:t>
    </dgm:pt>
    <dgm:pt modelId="{363CD5AC-D513-45D2-9F0C-B09636069D0E}">
      <dgm:prSet phldrT="[文本]" phldr="0" custT="1"/>
      <dgm:spPr/>
      <dgm:t>
        <a:bodyPr vert="horz" wrap="square"/>
        <a:p>
          <a:pPr>
            <a:lnSpc>
              <a:spcPct val="100000"/>
            </a:lnSpc>
            <a:spcBef>
              <a:spcPct val="0"/>
            </a:spcBef>
            <a:spcAft>
              <a:spcPct val="35000"/>
            </a:spcAft>
          </a:pPr>
          <a:r>
            <a:rPr lang="zh-CN" altLang="en-US" sz="1200" b="0" i="0" dirty="0">
              <a:latin typeface="宋体" panose="02010600030101010101" charset="-122"/>
              <a:ea typeface="宋体" panose="02010600030101010101" charset="-122"/>
              <a:cs typeface="宋体" panose="02010600030101010101" charset="-122"/>
            </a:rPr>
            <a:t>行动一：结合区域产业特点，加大对环境友好型企业的金融支持力度</a:t>
          </a:r>
          <a:endParaRPr sz="1400"/>
        </a:p>
      </dgm:t>
    </dgm:pt>
    <dgm:pt modelId="{910A6218-CBDE-467F-A871-3ED836909C83}" cxnId="{8A2CD106-BC3D-47D5-93AF-AE755F3DA0F5}" type="parTrans">
      <dgm:prSet/>
      <dgm:spPr/>
      <dgm:t>
        <a:bodyPr/>
        <a:p>
          <a:endParaRPr lang="zh-CN" altLang="en-US"/>
        </a:p>
      </dgm:t>
    </dgm:pt>
    <dgm:pt modelId="{26FE7D98-361D-4092-A855-D11171686983}" cxnId="{8A2CD106-BC3D-47D5-93AF-AE755F3DA0F5}" type="sibTrans">
      <dgm:prSet/>
      <dgm:spPr/>
      <dgm:t>
        <a:bodyPr/>
        <a:p>
          <a:endParaRPr lang="zh-CN" altLang="en-US"/>
        </a:p>
      </dgm:t>
    </dgm:pt>
    <dgm:pt modelId="{46FF959C-B991-43A6-8902-B215178C401C}">
      <dgm:prSet phldr="0" custT="0"/>
      <dgm:spPr/>
      <dgm:t>
        <a:bodyPr vert="horz" wrap="square"/>
        <a:p>
          <a:pPr algn="ctr">
            <a:lnSpc>
              <a:spcPct val="100000"/>
            </a:lnSpc>
            <a:spcBef>
              <a:spcPct val="0"/>
            </a:spcBef>
            <a:spcAft>
              <a:spcPct val="15000"/>
            </a:spcAft>
          </a:pPr>
          <a:endParaRPr>
            <a:latin typeface="Times New Roman" panose="02020603050405020304" charset="0"/>
            <a:ea typeface="黑体" panose="02010609060101010101" charset="-122"/>
            <a:cs typeface="Times New Roman" panose="02020603050405020304" charset="0"/>
          </a:endParaRPr>
        </a:p>
      </dgm:t>
    </dgm:pt>
    <dgm:pt modelId="{129E754A-9AB4-4BED-9559-3716AC036849}" cxnId="{700CA1EF-BE78-4505-81CA-E8B140F4D12D}" type="parTrans">
      <dgm:prSet/>
      <dgm:spPr/>
      <dgm:t>
        <a:bodyPr/>
        <a:p>
          <a:endParaRPr lang="zh-CN" altLang="en-US"/>
        </a:p>
      </dgm:t>
    </dgm:pt>
    <dgm:pt modelId="{1085B986-388F-403C-8C50-ACABCF686691}" cxnId="{700CA1EF-BE78-4505-81CA-E8B140F4D12D}" type="sibTrans">
      <dgm:prSet/>
      <dgm:spPr/>
      <dgm:t>
        <a:bodyPr/>
        <a:p>
          <a:endParaRPr lang="zh-CN" altLang="en-US"/>
        </a:p>
      </dgm:t>
    </dgm:pt>
    <dgm:pt modelId="{F8379ABD-C4F1-4FBF-8640-BFA14B948378}">
      <dgm:prSet phldrT="[文本]" phldr="0" custT="1"/>
      <dgm:spPr/>
      <dgm:t>
        <a:bodyPr vert="horz" wrap="square"/>
        <a:p>
          <a:pPr>
            <a:lnSpc>
              <a:spcPct val="100000"/>
            </a:lnSpc>
            <a:spcBef>
              <a:spcPct val="0"/>
            </a:spcBef>
            <a:spcAft>
              <a:spcPct val="35000"/>
            </a:spcAft>
          </a:pPr>
          <a:r>
            <a:rPr lang="zh-CN" altLang="en-US" sz="1200" b="0" i="0" dirty="0">
              <a:latin typeface="宋体" panose="02010600030101010101" charset="-122"/>
              <a:ea typeface="宋体" panose="02010600030101010101" charset="-122"/>
              <a:cs typeface="宋体" panose="02010600030101010101" charset="-122"/>
            </a:rPr>
            <a:t>行动二：改进绿色项目传统产品，创新绿色企业专属产品，积极发展绿色消费金融产品</a:t>
          </a:r>
          <a:endParaRPr lang="zh-CN" altLang="en-US" sz="1200" dirty="0">
            <a:latin typeface="宋体" panose="02010600030101010101" charset="-122"/>
            <a:ea typeface="宋体" panose="02010600030101010101" charset="-122"/>
            <a:cs typeface="宋体" panose="02010600030101010101" charset="-122"/>
          </a:endParaRPr>
        </a:p>
      </dgm:t>
    </dgm:pt>
    <dgm:pt modelId="{ACF09DD1-44CC-4F3F-B57B-31D85E381FA2}" cxnId="{FF944904-79B6-455C-B2CD-812229599B58}" type="parTrans">
      <dgm:prSet/>
      <dgm:spPr/>
      <dgm:t>
        <a:bodyPr/>
        <a:p>
          <a:endParaRPr lang="zh-CN" altLang="en-US"/>
        </a:p>
      </dgm:t>
    </dgm:pt>
    <dgm:pt modelId="{5CD34C75-DBED-449A-9D12-FD8160766989}" cxnId="{FF944904-79B6-455C-B2CD-812229599B58}" type="sibTrans">
      <dgm:prSet/>
      <dgm:spPr/>
      <dgm:t>
        <a:bodyPr/>
        <a:p>
          <a:endParaRPr lang="zh-CN" altLang="en-US"/>
        </a:p>
      </dgm:t>
    </dgm:pt>
    <dgm:pt modelId="{4ED80DC1-7195-44AF-ABEB-968757DAB901}">
      <dgm:prSet phldr="0" custT="0"/>
      <dgm:spPr/>
      <dgm:t>
        <a:bodyPr vert="horz" wrap="square"/>
        <a:p>
          <a:endParaRPr>
            <a:latin typeface="Times New Roman" panose="02020603050405020304" charset="0"/>
            <a:ea typeface="黑体" panose="02010609060101010101" charset="-122"/>
            <a:cs typeface="Times New Roman" panose="02020603050405020304" charset="0"/>
          </a:endParaRPr>
        </a:p>
      </dgm:t>
    </dgm:pt>
    <dgm:pt modelId="{9CD3BFBE-EE2A-4F4B-877B-7EEA3D24DA9D}" cxnId="{ABB87E54-CEE0-4062-9EE5-95604172D5B0}" type="parTrans">
      <dgm:prSet/>
      <dgm:spPr/>
      <dgm:t>
        <a:bodyPr/>
        <a:p>
          <a:endParaRPr lang="zh-CN" altLang="en-US"/>
        </a:p>
      </dgm:t>
    </dgm:pt>
    <dgm:pt modelId="{EB011219-ECD7-434B-B8F2-3E85C46B2A3B}" cxnId="{ABB87E54-CEE0-4062-9EE5-95604172D5B0}" type="sibTrans">
      <dgm:prSet/>
      <dgm:spPr/>
      <dgm:t>
        <a:bodyPr/>
        <a:p>
          <a:endParaRPr lang="zh-CN" altLang="en-US"/>
        </a:p>
      </dgm:t>
    </dgm:pt>
    <dgm:pt modelId="{86DD221E-EE04-4787-A4DA-F68ABE78F5DD}">
      <dgm:prSet phldrT="[文本]" phldr="0" custT="1"/>
      <dgm:spPr/>
      <dgm:t>
        <a:bodyPr vert="horz" wrap="square"/>
        <a:p>
          <a:pPr>
            <a:lnSpc>
              <a:spcPct val="100000"/>
            </a:lnSpc>
            <a:spcBef>
              <a:spcPct val="0"/>
            </a:spcBef>
            <a:spcAft>
              <a:spcPct val="35000"/>
            </a:spcAft>
          </a:pPr>
          <a:r>
            <a:rPr lang="zh-CN" altLang="en-US" sz="1200" b="0" i="0" dirty="0">
              <a:latin typeface="宋体" panose="02010600030101010101" charset="-122"/>
              <a:ea typeface="宋体" panose="02010600030101010101" charset="-122"/>
              <a:cs typeface="宋体" panose="02010600030101010101" charset="-122"/>
            </a:rPr>
            <a:t>行动三：严格执行对高排放、高污染行业的准入和限入政策，加强对贷款全流程管理</a:t>
          </a:r>
          <a:endParaRPr lang="zh-CN" altLang="en-US" sz="1200" dirty="0">
            <a:latin typeface="宋体" panose="02010600030101010101" charset="-122"/>
            <a:ea typeface="宋体" panose="02010600030101010101" charset="-122"/>
            <a:cs typeface="宋体" panose="02010600030101010101" charset="-122"/>
          </a:endParaRPr>
        </a:p>
      </dgm:t>
    </dgm:pt>
    <dgm:pt modelId="{7340F444-522B-424A-9D21-9D728796C478}" cxnId="{43E18BAD-9BD3-41D1-872C-B658FDC1B846}" type="parTrans">
      <dgm:prSet/>
      <dgm:spPr/>
      <dgm:t>
        <a:bodyPr/>
        <a:p>
          <a:endParaRPr lang="zh-CN" altLang="en-US"/>
        </a:p>
      </dgm:t>
    </dgm:pt>
    <dgm:pt modelId="{2A8383DD-E3D3-4F88-B486-E579F31E8015}" cxnId="{43E18BAD-9BD3-41D1-872C-B658FDC1B846}" type="sibTrans">
      <dgm:prSet/>
      <dgm:spPr/>
      <dgm:t>
        <a:bodyPr/>
        <a:p>
          <a:endParaRPr lang="zh-CN" altLang="en-US"/>
        </a:p>
      </dgm:t>
    </dgm:pt>
    <dgm:pt modelId="{4AAE34E1-28E0-438B-9B47-95DF43593568}">
      <dgm:prSet phldr="0" custT="0"/>
      <dgm:spPr/>
      <dgm:t>
        <a:bodyPr vert="horz" wrap="square"/>
        <a:p>
          <a:endParaRPr>
            <a:latin typeface="Times New Roman" panose="02020603050405020304" charset="0"/>
            <a:ea typeface="黑体" panose="02010609060101010101" charset="-122"/>
            <a:cs typeface="Times New Roman" panose="02020603050405020304" charset="0"/>
          </a:endParaRPr>
        </a:p>
      </dgm:t>
    </dgm:pt>
    <dgm:pt modelId="{DB17E0E1-BCBE-48C2-B3EE-897F310FF49A}" cxnId="{21DA0DDC-3028-466C-93E3-E6628E017459}" type="parTrans">
      <dgm:prSet/>
      <dgm:spPr/>
      <dgm:t>
        <a:bodyPr/>
        <a:p>
          <a:endParaRPr lang="zh-CN" altLang="en-US"/>
        </a:p>
      </dgm:t>
    </dgm:pt>
    <dgm:pt modelId="{A2BA5ADB-E3F0-4FB0-8874-B9D91593C764}" cxnId="{21DA0DDC-3028-466C-93E3-E6628E017459}" type="sibTrans">
      <dgm:prSet/>
      <dgm:spPr/>
      <dgm:t>
        <a:bodyPr/>
        <a:p>
          <a:endParaRPr lang="zh-CN" altLang="en-US"/>
        </a:p>
      </dgm:t>
    </dgm:pt>
    <dgm:pt modelId="{47088591-A2CF-4903-8756-63A23B0795D7}" type="pres">
      <dgm:prSet presAssocID="{D8311D94-22D7-4839-ABD8-E24ED8EA5142}" presName="linear" presStyleCnt="0">
        <dgm:presLayoutVars>
          <dgm:dir/>
          <dgm:animLvl val="lvl"/>
          <dgm:resizeHandles val="exact"/>
        </dgm:presLayoutVars>
      </dgm:prSet>
      <dgm:spPr/>
    </dgm:pt>
    <dgm:pt modelId="{8AF4CA53-1A01-4776-B673-F441E7217D50}" type="pres">
      <dgm:prSet presAssocID="{363CD5AC-D513-45D2-9F0C-B09636069D0E}" presName="parentLin" presStyleCnt="0"/>
      <dgm:spPr/>
    </dgm:pt>
    <dgm:pt modelId="{63512975-5E9E-4044-8CF2-98BA334F55CD}" type="pres">
      <dgm:prSet presAssocID="{363CD5AC-D513-45D2-9F0C-B09636069D0E}" presName="parentLeftMargin" presStyleLbl="node1" presStyleIdx="0" presStyleCnt="3"/>
      <dgm:spPr/>
    </dgm:pt>
    <dgm:pt modelId="{07FD8BF5-F29F-49AA-9BBB-ADE8EC575A26}" type="pres">
      <dgm:prSet presAssocID="{363CD5AC-D513-45D2-9F0C-B09636069D0E}" presName="parentText" presStyleLbl="node1" presStyleIdx="0" presStyleCnt="3">
        <dgm:presLayoutVars>
          <dgm:chMax val="0"/>
          <dgm:bulletEnabled val="1"/>
        </dgm:presLayoutVars>
      </dgm:prSet>
      <dgm:spPr/>
    </dgm:pt>
    <dgm:pt modelId="{13A044FE-C591-4A30-BCB2-22549861A62C}" type="pres">
      <dgm:prSet presAssocID="{363CD5AC-D513-45D2-9F0C-B09636069D0E}" presName="negativeSpace" presStyleCnt="0"/>
      <dgm:spPr/>
    </dgm:pt>
    <dgm:pt modelId="{0ECE5236-B72F-42A2-9D4D-A869D7C9E487}" type="pres">
      <dgm:prSet presAssocID="{363CD5AC-D513-45D2-9F0C-B09636069D0E}" presName="childText" presStyleLbl="conFgAcc1" presStyleIdx="0" presStyleCnt="3">
        <dgm:presLayoutVars>
          <dgm:bulletEnabled val="1"/>
        </dgm:presLayoutVars>
      </dgm:prSet>
      <dgm:spPr/>
    </dgm:pt>
    <dgm:pt modelId="{C8C21487-349B-4B01-850A-E754D5FF234A}" type="pres">
      <dgm:prSet presAssocID="{26FE7D98-361D-4092-A855-D11171686983}" presName="spaceBetweenRectangles" presStyleCnt="0"/>
      <dgm:spPr/>
    </dgm:pt>
    <dgm:pt modelId="{39C5C91F-F7FB-49F7-BE64-949ABBB98C03}" type="pres">
      <dgm:prSet presAssocID="{F8379ABD-C4F1-4FBF-8640-BFA14B948378}" presName="parentLin" presStyleCnt="0"/>
      <dgm:spPr/>
    </dgm:pt>
    <dgm:pt modelId="{43C48E53-59E4-4754-BEDC-EAB93E62DB92}" type="pres">
      <dgm:prSet presAssocID="{F8379ABD-C4F1-4FBF-8640-BFA14B948378}" presName="parentLeftMargin" presStyleLbl="node1" presStyleIdx="0" presStyleCnt="3"/>
      <dgm:spPr/>
    </dgm:pt>
    <dgm:pt modelId="{3E6A83B9-0125-40B0-B4C7-EABE5F755C90}" type="pres">
      <dgm:prSet presAssocID="{F8379ABD-C4F1-4FBF-8640-BFA14B948378}" presName="parentText" presStyleLbl="node1" presStyleIdx="1" presStyleCnt="3">
        <dgm:presLayoutVars>
          <dgm:chMax val="0"/>
          <dgm:bulletEnabled val="1"/>
        </dgm:presLayoutVars>
      </dgm:prSet>
      <dgm:spPr/>
    </dgm:pt>
    <dgm:pt modelId="{D4E6A8A1-BB1D-4980-9A6F-D3E5AC4B1AC5}" type="pres">
      <dgm:prSet presAssocID="{F8379ABD-C4F1-4FBF-8640-BFA14B948378}" presName="negativeSpace" presStyleCnt="0"/>
      <dgm:spPr/>
    </dgm:pt>
    <dgm:pt modelId="{15B6A83A-8D09-4A31-B804-8BEA39A7D011}" type="pres">
      <dgm:prSet presAssocID="{F8379ABD-C4F1-4FBF-8640-BFA14B948378}" presName="childText" presStyleLbl="conFgAcc1" presStyleIdx="1" presStyleCnt="3">
        <dgm:presLayoutVars>
          <dgm:bulletEnabled val="1"/>
        </dgm:presLayoutVars>
      </dgm:prSet>
      <dgm:spPr/>
    </dgm:pt>
    <dgm:pt modelId="{D3115030-44CC-44E2-B8AA-1BF5F515B6BA}" type="pres">
      <dgm:prSet presAssocID="{5CD34C75-DBED-449A-9D12-FD8160766989}" presName="spaceBetweenRectangles" presStyleCnt="0"/>
      <dgm:spPr/>
    </dgm:pt>
    <dgm:pt modelId="{90CB3314-DA76-4C4F-AE73-7A67A08335DE}" type="pres">
      <dgm:prSet presAssocID="{86DD221E-EE04-4787-A4DA-F68ABE78F5DD}" presName="parentLin" presStyleCnt="0"/>
      <dgm:spPr/>
    </dgm:pt>
    <dgm:pt modelId="{06EE8710-1837-49CB-858D-5C6517FEEBAB}" type="pres">
      <dgm:prSet presAssocID="{86DD221E-EE04-4787-A4DA-F68ABE78F5DD}" presName="parentLeftMargin" presStyleLbl="node1" presStyleIdx="1" presStyleCnt="3"/>
      <dgm:spPr/>
    </dgm:pt>
    <dgm:pt modelId="{5E5D95D0-E835-402C-92B1-F9978FF3C0B9}" type="pres">
      <dgm:prSet presAssocID="{86DD221E-EE04-4787-A4DA-F68ABE78F5DD}" presName="parentText" presStyleLbl="node1" presStyleIdx="2" presStyleCnt="3">
        <dgm:presLayoutVars>
          <dgm:chMax val="0"/>
          <dgm:bulletEnabled val="1"/>
        </dgm:presLayoutVars>
      </dgm:prSet>
      <dgm:spPr/>
    </dgm:pt>
    <dgm:pt modelId="{185DB3EC-C7E5-436B-968B-0F3A96F5F840}" type="pres">
      <dgm:prSet presAssocID="{86DD221E-EE04-4787-A4DA-F68ABE78F5DD}" presName="negativeSpace" presStyleCnt="0"/>
      <dgm:spPr/>
    </dgm:pt>
    <dgm:pt modelId="{B14DA656-A6D8-4BF1-A2E7-09A11875432D}" type="pres">
      <dgm:prSet presAssocID="{86DD221E-EE04-4787-A4DA-F68ABE78F5DD}" presName="childText" presStyleLbl="conFgAcc1" presStyleIdx="2" presStyleCnt="3">
        <dgm:presLayoutVars>
          <dgm:bulletEnabled val="1"/>
        </dgm:presLayoutVars>
      </dgm:prSet>
      <dgm:spPr/>
    </dgm:pt>
  </dgm:ptLst>
  <dgm:cxnLst>
    <dgm:cxn modelId="{FF944904-79B6-455C-B2CD-812229599B58}" srcId="{D8311D94-22D7-4839-ABD8-E24ED8EA5142}" destId="{F8379ABD-C4F1-4FBF-8640-BFA14B948378}" srcOrd="1" destOrd="0" parTransId="{ACF09DD1-44CC-4F3F-B57B-31D85E381FA2}" sibTransId="{5CD34C75-DBED-449A-9D12-FD8160766989}"/>
    <dgm:cxn modelId="{8A2CD106-BC3D-47D5-93AF-AE755F3DA0F5}" srcId="{D8311D94-22D7-4839-ABD8-E24ED8EA5142}" destId="{363CD5AC-D513-45D2-9F0C-B09636069D0E}" srcOrd="0" destOrd="0" parTransId="{910A6218-CBDE-467F-A871-3ED836909C83}" sibTransId="{26FE7D98-361D-4092-A855-D11171686983}"/>
    <dgm:cxn modelId="{AF2FE548-5D78-4BA6-9EEA-7ED3C1EE7479}" type="presOf" srcId="{363CD5AC-D513-45D2-9F0C-B09636069D0E}" destId="{63512975-5E9E-4044-8CF2-98BA334F55CD}" srcOrd="0" destOrd="0" presId="urn:microsoft.com/office/officeart/2005/8/layout/list1#2"/>
    <dgm:cxn modelId="{6419CC6C-5FE6-4AD0-84A9-DDD9429F2D0B}" type="presOf" srcId="{4ED80DC1-7195-44AF-ABEB-968757DAB901}" destId="{15B6A83A-8D09-4A31-B804-8BEA39A7D011}" srcOrd="0" destOrd="0" presId="urn:microsoft.com/office/officeart/2005/8/layout/list1#2"/>
    <dgm:cxn modelId="{1680FB51-1FCF-44F2-8048-1FF2C6E39F7A}" type="presOf" srcId="{D8311D94-22D7-4839-ABD8-E24ED8EA5142}" destId="{47088591-A2CF-4903-8756-63A23B0795D7}" srcOrd="0" destOrd="0" presId="urn:microsoft.com/office/officeart/2005/8/layout/list1#2"/>
    <dgm:cxn modelId="{FB822B53-206D-4514-BF26-431FF2D3E21E}" type="presOf" srcId="{86DD221E-EE04-4787-A4DA-F68ABE78F5DD}" destId="{06EE8710-1837-49CB-858D-5C6517FEEBAB}" srcOrd="0" destOrd="0" presId="urn:microsoft.com/office/officeart/2005/8/layout/list1#2"/>
    <dgm:cxn modelId="{ABB87E54-CEE0-4062-9EE5-95604172D5B0}" srcId="{F8379ABD-C4F1-4FBF-8640-BFA14B948378}" destId="{4ED80DC1-7195-44AF-ABEB-968757DAB901}" srcOrd="0" destOrd="0" parTransId="{9CD3BFBE-EE2A-4F4B-877B-7EEA3D24DA9D}" sibTransId="{EB011219-ECD7-434B-B8F2-3E85C46B2A3B}"/>
    <dgm:cxn modelId="{43E18BAD-9BD3-41D1-872C-B658FDC1B846}" srcId="{D8311D94-22D7-4839-ABD8-E24ED8EA5142}" destId="{86DD221E-EE04-4787-A4DA-F68ABE78F5DD}" srcOrd="2" destOrd="0" parTransId="{7340F444-522B-424A-9D21-9D728796C478}" sibTransId="{2A8383DD-E3D3-4F88-B486-E579F31E8015}"/>
    <dgm:cxn modelId="{EB098FB5-1445-4B34-B626-5D690563C754}" type="presOf" srcId="{4AAE34E1-28E0-438B-9B47-95DF43593568}" destId="{B14DA656-A6D8-4BF1-A2E7-09A11875432D}" srcOrd="0" destOrd="0" presId="urn:microsoft.com/office/officeart/2005/8/layout/list1#2"/>
    <dgm:cxn modelId="{56B39AB8-4A20-4FFF-8988-F9217B7D2CCE}" type="presOf" srcId="{F8379ABD-C4F1-4FBF-8640-BFA14B948378}" destId="{3E6A83B9-0125-40B0-B4C7-EABE5F755C90}" srcOrd="1" destOrd="0" presId="urn:microsoft.com/office/officeart/2005/8/layout/list1#2"/>
    <dgm:cxn modelId="{2DE8D4CB-8DFF-4256-A38D-519D0FB1906D}" type="presOf" srcId="{F8379ABD-C4F1-4FBF-8640-BFA14B948378}" destId="{43C48E53-59E4-4754-BEDC-EAB93E62DB92}" srcOrd="0" destOrd="0" presId="urn:microsoft.com/office/officeart/2005/8/layout/list1#2"/>
    <dgm:cxn modelId="{076118D2-B989-4D5C-8298-18D3EE4CC7A3}" type="presOf" srcId="{46FF959C-B991-43A6-8902-B215178C401C}" destId="{0ECE5236-B72F-42A2-9D4D-A869D7C9E487}" srcOrd="0" destOrd="0" presId="urn:microsoft.com/office/officeart/2005/8/layout/list1#2"/>
    <dgm:cxn modelId="{74AF33DB-2698-43B3-AEB1-89D66E50B2C9}" type="presOf" srcId="{363CD5AC-D513-45D2-9F0C-B09636069D0E}" destId="{07FD8BF5-F29F-49AA-9BBB-ADE8EC575A26}" srcOrd="1" destOrd="0" presId="urn:microsoft.com/office/officeart/2005/8/layout/list1#2"/>
    <dgm:cxn modelId="{21DA0DDC-3028-466C-93E3-E6628E017459}" srcId="{86DD221E-EE04-4787-A4DA-F68ABE78F5DD}" destId="{4AAE34E1-28E0-438B-9B47-95DF43593568}" srcOrd="0" destOrd="0" parTransId="{DB17E0E1-BCBE-48C2-B3EE-897F310FF49A}" sibTransId="{A2BA5ADB-E3F0-4FB0-8874-B9D91593C764}"/>
    <dgm:cxn modelId="{700CA1EF-BE78-4505-81CA-E8B140F4D12D}" srcId="{363CD5AC-D513-45D2-9F0C-B09636069D0E}" destId="{46FF959C-B991-43A6-8902-B215178C401C}" srcOrd="0" destOrd="0" parTransId="{129E754A-9AB4-4BED-9559-3716AC036849}" sibTransId="{1085B986-388F-403C-8C50-ACABCF686691}"/>
    <dgm:cxn modelId="{49DAA1F5-2415-49B0-8A71-07A14D7138B9}" type="presOf" srcId="{86DD221E-EE04-4787-A4DA-F68ABE78F5DD}" destId="{5E5D95D0-E835-402C-92B1-F9978FF3C0B9}" srcOrd="1" destOrd="0" presId="urn:microsoft.com/office/officeart/2005/8/layout/list1#2"/>
    <dgm:cxn modelId="{7E4285F4-0B4C-4346-AE31-316188A44EA0}" type="presParOf" srcId="{47088591-A2CF-4903-8756-63A23B0795D7}" destId="{8AF4CA53-1A01-4776-B673-F441E7217D50}" srcOrd="0" destOrd="0" presId="urn:microsoft.com/office/officeart/2005/8/layout/list1#2"/>
    <dgm:cxn modelId="{373AEFE3-BEE4-4949-A5F6-67816453F064}" type="presParOf" srcId="{8AF4CA53-1A01-4776-B673-F441E7217D50}" destId="{63512975-5E9E-4044-8CF2-98BA334F55CD}" srcOrd="0" destOrd="0" presId="urn:microsoft.com/office/officeart/2005/8/layout/list1#2"/>
    <dgm:cxn modelId="{0BA7F70C-CE68-4D65-BA57-1C585AEC526F}" type="presParOf" srcId="{8AF4CA53-1A01-4776-B673-F441E7217D50}" destId="{07FD8BF5-F29F-49AA-9BBB-ADE8EC575A26}" srcOrd="1" destOrd="0" presId="urn:microsoft.com/office/officeart/2005/8/layout/list1#2"/>
    <dgm:cxn modelId="{7432C7D4-B92F-4F6E-A091-9E612F3E0330}" type="presParOf" srcId="{47088591-A2CF-4903-8756-63A23B0795D7}" destId="{13A044FE-C591-4A30-BCB2-22549861A62C}" srcOrd="1" destOrd="0" presId="urn:microsoft.com/office/officeart/2005/8/layout/list1#2"/>
    <dgm:cxn modelId="{1D59CEB5-8027-4E05-BC3C-49F05330585F}" type="presParOf" srcId="{47088591-A2CF-4903-8756-63A23B0795D7}" destId="{0ECE5236-B72F-42A2-9D4D-A869D7C9E487}" srcOrd="2" destOrd="0" presId="urn:microsoft.com/office/officeart/2005/8/layout/list1#2"/>
    <dgm:cxn modelId="{7C3D2F67-EE8E-4157-A38E-6B39FFD2916D}" type="presParOf" srcId="{47088591-A2CF-4903-8756-63A23B0795D7}" destId="{C8C21487-349B-4B01-850A-E754D5FF234A}" srcOrd="3" destOrd="0" presId="urn:microsoft.com/office/officeart/2005/8/layout/list1#2"/>
    <dgm:cxn modelId="{59F3F6CD-5757-4745-A7D6-AD6CD1482AEE}" type="presParOf" srcId="{47088591-A2CF-4903-8756-63A23B0795D7}" destId="{39C5C91F-F7FB-49F7-BE64-949ABBB98C03}" srcOrd="4" destOrd="0" presId="urn:microsoft.com/office/officeart/2005/8/layout/list1#2"/>
    <dgm:cxn modelId="{D070A773-BF0C-4E84-9B55-A664598BAFA3}" type="presParOf" srcId="{39C5C91F-F7FB-49F7-BE64-949ABBB98C03}" destId="{43C48E53-59E4-4754-BEDC-EAB93E62DB92}" srcOrd="0" destOrd="0" presId="urn:microsoft.com/office/officeart/2005/8/layout/list1#2"/>
    <dgm:cxn modelId="{64FB86ED-A3F5-4FBF-86B6-681129347F41}" type="presParOf" srcId="{39C5C91F-F7FB-49F7-BE64-949ABBB98C03}" destId="{3E6A83B9-0125-40B0-B4C7-EABE5F755C90}" srcOrd="1" destOrd="0" presId="urn:microsoft.com/office/officeart/2005/8/layout/list1#2"/>
    <dgm:cxn modelId="{10FC8284-0EF1-4D8B-89E9-AB4F5A2AE66C}" type="presParOf" srcId="{47088591-A2CF-4903-8756-63A23B0795D7}" destId="{D4E6A8A1-BB1D-4980-9A6F-D3E5AC4B1AC5}" srcOrd="5" destOrd="0" presId="urn:microsoft.com/office/officeart/2005/8/layout/list1#2"/>
    <dgm:cxn modelId="{695E5CF8-8B6E-44DF-A8CB-AFBD2A7B3CA5}" type="presParOf" srcId="{47088591-A2CF-4903-8756-63A23B0795D7}" destId="{15B6A83A-8D09-4A31-B804-8BEA39A7D011}" srcOrd="6" destOrd="0" presId="urn:microsoft.com/office/officeart/2005/8/layout/list1#2"/>
    <dgm:cxn modelId="{36B086BF-53DC-45CE-928A-E278DCB0E539}" type="presParOf" srcId="{47088591-A2CF-4903-8756-63A23B0795D7}" destId="{D3115030-44CC-44E2-B8AA-1BF5F515B6BA}" srcOrd="7" destOrd="0" presId="urn:microsoft.com/office/officeart/2005/8/layout/list1#2"/>
    <dgm:cxn modelId="{DAABB43E-7FE4-41DF-9ACE-2D468EF49BE4}" type="presParOf" srcId="{47088591-A2CF-4903-8756-63A23B0795D7}" destId="{90CB3314-DA76-4C4F-AE73-7A67A08335DE}" srcOrd="8" destOrd="0" presId="urn:microsoft.com/office/officeart/2005/8/layout/list1#2"/>
    <dgm:cxn modelId="{2F6ED5D8-B199-4A1E-8928-44A69853B2D8}" type="presParOf" srcId="{90CB3314-DA76-4C4F-AE73-7A67A08335DE}" destId="{06EE8710-1837-49CB-858D-5C6517FEEBAB}" srcOrd="0" destOrd="0" presId="urn:microsoft.com/office/officeart/2005/8/layout/list1#2"/>
    <dgm:cxn modelId="{CB2BFF84-F98F-41DA-8EAB-25962310BD20}" type="presParOf" srcId="{90CB3314-DA76-4C4F-AE73-7A67A08335DE}" destId="{5E5D95D0-E835-402C-92B1-F9978FF3C0B9}" srcOrd="1" destOrd="0" presId="urn:microsoft.com/office/officeart/2005/8/layout/list1#2"/>
    <dgm:cxn modelId="{49DAF237-FE4C-4AF6-82DB-D2AB7E98F921}" type="presParOf" srcId="{47088591-A2CF-4903-8756-63A23B0795D7}" destId="{185DB3EC-C7E5-436B-968B-0F3A96F5F840}" srcOrd="9" destOrd="0" presId="urn:microsoft.com/office/officeart/2005/8/layout/list1#2"/>
    <dgm:cxn modelId="{F46B4A7B-0F27-4FCF-BD27-46527A1AEC15}" type="presParOf" srcId="{47088591-A2CF-4903-8756-63A23B0795D7}" destId="{B14DA656-A6D8-4BF1-A2E7-09A11875432D}" srcOrd="10" destOrd="0" presId="urn:microsoft.com/office/officeart/2005/8/layout/list1#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926330" cy="2329815"/>
        <a:chOff x="0" y="0"/>
        <a:chExt cx="4926330" cy="2329815"/>
      </a:xfrm>
    </dsp:grpSpPr>
    <dsp:sp modelId="{0ECE5236-B72F-42A2-9D4D-A869D7C9E487}">
      <dsp:nvSpPr>
        <dsp:cNvPr id="5" name="矩形 4"/>
        <dsp:cNvSpPr/>
      </dsp:nvSpPr>
      <dsp:spPr bwMode="white">
        <a:xfrm>
          <a:off x="0" y="305048"/>
          <a:ext cx="4926330" cy="428400"/>
        </a:xfrm>
        <a:prstGeom prst="rect">
          <a:avLst/>
        </a:prstGeom>
      </dsp:spPr>
      <dsp:style>
        <a:lnRef idx="2">
          <a:schemeClr val="accent5"/>
        </a:lnRef>
        <a:fillRef idx="1">
          <a:schemeClr val="accent5">
            <a:alpha val="90000"/>
            <a:tint val="40000"/>
          </a:schemeClr>
        </a:fillRef>
        <a:effectRef idx="0">
          <a:scrgbClr r="0" g="0" b="0"/>
        </a:effectRef>
        <a:fontRef idx="minor"/>
      </dsp:style>
      <dsp:txBody>
        <a:bodyPr vert="horz" wrap="square" lIns="382337" tIns="354076" rIns="382337" bIns="120904" anchor="t"/>
        <a:lstStyle>
          <a:lvl1pPr algn="l">
            <a:defRPr sz="1700"/>
          </a:lvl1pPr>
          <a:lvl2pPr marL="171450" indent="-171450" algn="l">
            <a:defRPr sz="1700"/>
          </a:lvl2pPr>
          <a:lvl3pPr marL="342900" indent="-171450" algn="l">
            <a:defRPr sz="1700"/>
          </a:lvl3pPr>
          <a:lvl4pPr marL="514350" indent="-171450" algn="l">
            <a:defRPr sz="1700"/>
          </a:lvl4pPr>
          <a:lvl5pPr marL="685800" indent="-171450" algn="l">
            <a:defRPr sz="1700"/>
          </a:lvl5pPr>
          <a:lvl6pPr marL="857250" indent="-171450" algn="l">
            <a:defRPr sz="1700"/>
          </a:lvl6pPr>
          <a:lvl7pPr marL="1028700" indent="-171450" algn="l">
            <a:defRPr sz="1700"/>
          </a:lvl7pPr>
          <a:lvl8pPr marL="1200150" indent="-171450" algn="l">
            <a:defRPr sz="1700"/>
          </a:lvl8pPr>
          <a:lvl9pPr marL="1371600" indent="-171450" algn="l">
            <a:defRPr sz="1700"/>
          </a:lvl9pPr>
        </a:lstStyle>
        <a:p>
          <a:pPr lvl="1" algn="ctr">
            <a:lnSpc>
              <a:spcPct val="100000"/>
            </a:lnSpc>
            <a:spcBef>
              <a:spcPct val="0"/>
            </a:spcBef>
            <a:spcAft>
              <a:spcPct val="15000"/>
            </a:spcAft>
            <a:buChar char="•"/>
          </a:pPr>
          <a:endParaRPr>
            <a:solidFill>
              <a:schemeClr val="dk1"/>
            </a:solidFill>
            <a:latin typeface="Times New Roman" panose="02020603050405020304" charset="0"/>
            <a:ea typeface="黑体" panose="02010609060101010101" charset="-122"/>
            <a:cs typeface="Times New Roman" panose="02020603050405020304" charset="0"/>
          </a:endParaRPr>
        </a:p>
      </dsp:txBody>
      <dsp:txXfrm>
        <a:off x="0" y="305048"/>
        <a:ext cx="4926330" cy="428400"/>
      </dsp:txXfrm>
    </dsp:sp>
    <dsp:sp modelId="{07FD8BF5-F29F-49AA-9BBB-ADE8EC575A26}">
      <dsp:nvSpPr>
        <dsp:cNvPr id="4" name="圆角矩形 3"/>
        <dsp:cNvSpPr/>
      </dsp:nvSpPr>
      <dsp:spPr bwMode="white">
        <a:xfrm>
          <a:off x="246317" y="54128"/>
          <a:ext cx="3448431" cy="501840"/>
        </a:xfrm>
        <a:prstGeom prst="roundRect">
          <a:avLst/>
        </a:prstGeom>
      </dsp:spPr>
      <dsp:style>
        <a:lnRef idx="2">
          <a:schemeClr val="accent5">
            <a:shade val="80000"/>
          </a:schemeClr>
        </a:lnRef>
        <a:fillRef idx="1">
          <a:schemeClr val="lt1"/>
        </a:fillRef>
        <a:effectRef idx="0">
          <a:scrgbClr r="0" g="0" b="0"/>
        </a:effectRef>
        <a:fontRef idx="minor">
          <a:schemeClr val="lt1"/>
        </a:fontRef>
      </dsp:style>
      <dsp:txBody>
        <a:bodyPr vert="horz" wrap="square" lIns="130342" tIns="0" rIns="130342" bIns="0" anchor="ctr"/>
        <a:lstStyle>
          <a:lvl1pPr algn="l">
            <a:defRPr sz="17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lvl="0">
            <a:lnSpc>
              <a:spcPct val="100000"/>
            </a:lnSpc>
            <a:spcBef>
              <a:spcPct val="0"/>
            </a:spcBef>
            <a:spcAft>
              <a:spcPct val="35000"/>
            </a:spcAft>
          </a:pPr>
          <a:r>
            <a:rPr lang="zh-CN" altLang="en-US" sz="1200" b="0" i="0" dirty="0">
              <a:solidFill>
                <a:schemeClr val="dk1"/>
              </a:solidFill>
              <a:latin typeface="宋体" panose="02010600030101010101" charset="-122"/>
              <a:ea typeface="宋体" panose="02010600030101010101" charset="-122"/>
              <a:cs typeface="宋体" panose="02010600030101010101" charset="-122"/>
            </a:rPr>
            <a:t>行动一：结合区域产业特点，加大对环境友好型企业的金融支持力度</a:t>
          </a:r>
          <a:endParaRPr sz="1400">
            <a:solidFill>
              <a:schemeClr val="dk1"/>
            </a:solidFill>
          </a:endParaRPr>
        </a:p>
      </dsp:txBody>
      <dsp:txXfrm>
        <a:off x="246317" y="54128"/>
        <a:ext cx="3448431" cy="501840"/>
      </dsp:txXfrm>
    </dsp:sp>
    <dsp:sp modelId="{15B6A83A-8D09-4A31-B804-8BEA39A7D011}">
      <dsp:nvSpPr>
        <dsp:cNvPr id="8" name="矩形 7"/>
        <dsp:cNvSpPr/>
      </dsp:nvSpPr>
      <dsp:spPr bwMode="white">
        <a:xfrm>
          <a:off x="0" y="1076168"/>
          <a:ext cx="4926330" cy="428400"/>
        </a:xfrm>
        <a:prstGeom prst="rect">
          <a:avLst/>
        </a:prstGeom>
      </dsp:spPr>
      <dsp:style>
        <a:lnRef idx="2">
          <a:schemeClr val="accent5"/>
        </a:lnRef>
        <a:fillRef idx="1">
          <a:schemeClr val="accent5">
            <a:alpha val="90000"/>
            <a:tint val="40000"/>
          </a:schemeClr>
        </a:fillRef>
        <a:effectRef idx="0">
          <a:scrgbClr r="0" g="0" b="0"/>
        </a:effectRef>
        <a:fontRef idx="minor"/>
      </dsp:style>
      <dsp:txBody>
        <a:bodyPr vert="horz" wrap="square" lIns="382337" tIns="354076" rIns="382337" bIns="120904" anchor="t"/>
        <a:lstStyle>
          <a:lvl1pPr algn="l">
            <a:defRPr sz="1700"/>
          </a:lvl1pPr>
          <a:lvl2pPr marL="171450" indent="-171450" algn="l">
            <a:defRPr sz="1700"/>
          </a:lvl2pPr>
          <a:lvl3pPr marL="342900" indent="-171450" algn="l">
            <a:defRPr sz="1700"/>
          </a:lvl3pPr>
          <a:lvl4pPr marL="514350" indent="-171450" algn="l">
            <a:defRPr sz="1700"/>
          </a:lvl4pPr>
          <a:lvl5pPr marL="685800" indent="-171450" algn="l">
            <a:defRPr sz="1700"/>
          </a:lvl5pPr>
          <a:lvl6pPr marL="857250" indent="-171450" algn="l">
            <a:defRPr sz="1700"/>
          </a:lvl6pPr>
          <a:lvl7pPr marL="1028700" indent="-171450" algn="l">
            <a:defRPr sz="1700"/>
          </a:lvl7pPr>
          <a:lvl8pPr marL="1200150" indent="-171450" algn="l">
            <a:defRPr sz="1700"/>
          </a:lvl8pPr>
          <a:lvl9pPr marL="1371600" indent="-171450" algn="l">
            <a:defRPr sz="1700"/>
          </a:lvl9pPr>
        </a:lstStyle>
        <a:p>
          <a:pPr lvl="1">
            <a:lnSpc>
              <a:spcPct val="100000"/>
            </a:lnSpc>
            <a:spcBef>
              <a:spcPct val="0"/>
            </a:spcBef>
            <a:spcAft>
              <a:spcPct val="15000"/>
            </a:spcAft>
            <a:buChar char="•"/>
          </a:pPr>
          <a:endParaRPr>
            <a:solidFill>
              <a:schemeClr val="dk1"/>
            </a:solidFill>
            <a:latin typeface="Times New Roman" panose="02020603050405020304" charset="0"/>
            <a:ea typeface="黑体" panose="02010609060101010101" charset="-122"/>
            <a:cs typeface="Times New Roman" panose="02020603050405020304" charset="0"/>
          </a:endParaRPr>
        </a:p>
      </dsp:txBody>
      <dsp:txXfrm>
        <a:off x="0" y="1076168"/>
        <a:ext cx="4926330" cy="428400"/>
      </dsp:txXfrm>
    </dsp:sp>
    <dsp:sp modelId="{3E6A83B9-0125-40B0-B4C7-EABE5F755C90}">
      <dsp:nvSpPr>
        <dsp:cNvPr id="7" name="圆角矩形 6"/>
        <dsp:cNvSpPr/>
      </dsp:nvSpPr>
      <dsp:spPr bwMode="white">
        <a:xfrm>
          <a:off x="246317" y="825248"/>
          <a:ext cx="3448431" cy="501840"/>
        </a:xfrm>
        <a:prstGeom prst="roundRect">
          <a:avLst/>
        </a:prstGeom>
      </dsp:spPr>
      <dsp:style>
        <a:lnRef idx="2">
          <a:schemeClr val="accent5">
            <a:shade val="80000"/>
          </a:schemeClr>
        </a:lnRef>
        <a:fillRef idx="1">
          <a:schemeClr val="lt1"/>
        </a:fillRef>
        <a:effectRef idx="0">
          <a:scrgbClr r="0" g="0" b="0"/>
        </a:effectRef>
        <a:fontRef idx="minor">
          <a:schemeClr val="lt1"/>
        </a:fontRef>
      </dsp:style>
      <dsp:txBody>
        <a:bodyPr vert="horz" wrap="square" lIns="130342" tIns="0" rIns="130342" bIns="0" anchor="ctr"/>
        <a:lstStyle>
          <a:lvl1pPr algn="l">
            <a:defRPr sz="17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lvl="0">
            <a:lnSpc>
              <a:spcPct val="100000"/>
            </a:lnSpc>
            <a:spcBef>
              <a:spcPct val="0"/>
            </a:spcBef>
            <a:spcAft>
              <a:spcPct val="35000"/>
            </a:spcAft>
          </a:pPr>
          <a:r>
            <a:rPr lang="zh-CN" altLang="en-US" sz="1200" b="0" i="0" dirty="0">
              <a:solidFill>
                <a:schemeClr val="dk1"/>
              </a:solidFill>
              <a:latin typeface="宋体" panose="02010600030101010101" charset="-122"/>
              <a:ea typeface="宋体" panose="02010600030101010101" charset="-122"/>
              <a:cs typeface="宋体" panose="02010600030101010101" charset="-122"/>
            </a:rPr>
            <a:t>行动二：改进绿色项目传统产品，创新绿色企业专属产品，积极发展绿色消费金融产品</a:t>
          </a:r>
          <a:endParaRPr lang="zh-CN" altLang="en-US" sz="1200" dirty="0">
            <a:solidFill>
              <a:schemeClr val="dk1"/>
            </a:solidFill>
            <a:latin typeface="宋体" panose="02010600030101010101" charset="-122"/>
            <a:ea typeface="宋体" panose="02010600030101010101" charset="-122"/>
            <a:cs typeface="宋体" panose="02010600030101010101" charset="-122"/>
          </a:endParaRPr>
        </a:p>
      </dsp:txBody>
      <dsp:txXfrm>
        <a:off x="246317" y="825248"/>
        <a:ext cx="3448431" cy="501840"/>
      </dsp:txXfrm>
    </dsp:sp>
    <dsp:sp modelId="{B14DA656-A6D8-4BF1-A2E7-09A11875432D}">
      <dsp:nvSpPr>
        <dsp:cNvPr id="11" name="矩形 10"/>
        <dsp:cNvSpPr/>
      </dsp:nvSpPr>
      <dsp:spPr bwMode="white">
        <a:xfrm>
          <a:off x="0" y="1847288"/>
          <a:ext cx="4926330" cy="428400"/>
        </a:xfrm>
        <a:prstGeom prst="rect">
          <a:avLst/>
        </a:prstGeom>
      </dsp:spPr>
      <dsp:style>
        <a:lnRef idx="2">
          <a:schemeClr val="accent5"/>
        </a:lnRef>
        <a:fillRef idx="1">
          <a:schemeClr val="accent5">
            <a:alpha val="90000"/>
            <a:tint val="40000"/>
          </a:schemeClr>
        </a:fillRef>
        <a:effectRef idx="0">
          <a:scrgbClr r="0" g="0" b="0"/>
        </a:effectRef>
        <a:fontRef idx="minor"/>
      </dsp:style>
      <dsp:txBody>
        <a:bodyPr vert="horz" wrap="square" lIns="382337" tIns="354076" rIns="382337" bIns="120904" anchor="t"/>
        <a:lstStyle>
          <a:lvl1pPr algn="l">
            <a:defRPr sz="1700"/>
          </a:lvl1pPr>
          <a:lvl2pPr marL="171450" indent="-171450" algn="l">
            <a:defRPr sz="1700"/>
          </a:lvl2pPr>
          <a:lvl3pPr marL="342900" indent="-171450" algn="l">
            <a:defRPr sz="1700"/>
          </a:lvl3pPr>
          <a:lvl4pPr marL="514350" indent="-171450" algn="l">
            <a:defRPr sz="1700"/>
          </a:lvl4pPr>
          <a:lvl5pPr marL="685800" indent="-171450" algn="l">
            <a:defRPr sz="1700"/>
          </a:lvl5pPr>
          <a:lvl6pPr marL="857250" indent="-171450" algn="l">
            <a:defRPr sz="1700"/>
          </a:lvl6pPr>
          <a:lvl7pPr marL="1028700" indent="-171450" algn="l">
            <a:defRPr sz="1700"/>
          </a:lvl7pPr>
          <a:lvl8pPr marL="1200150" indent="-171450" algn="l">
            <a:defRPr sz="1700"/>
          </a:lvl8pPr>
          <a:lvl9pPr marL="1371600" indent="-171450" algn="l">
            <a:defRPr sz="1700"/>
          </a:lvl9pPr>
        </a:lstStyle>
        <a:p>
          <a:pPr lvl="1">
            <a:lnSpc>
              <a:spcPct val="100000"/>
            </a:lnSpc>
            <a:spcBef>
              <a:spcPct val="0"/>
            </a:spcBef>
            <a:spcAft>
              <a:spcPct val="15000"/>
            </a:spcAft>
            <a:buChar char="•"/>
          </a:pPr>
          <a:endParaRPr>
            <a:solidFill>
              <a:schemeClr val="dk1"/>
            </a:solidFill>
            <a:latin typeface="Times New Roman" panose="02020603050405020304" charset="0"/>
            <a:ea typeface="黑体" panose="02010609060101010101" charset="-122"/>
            <a:cs typeface="Times New Roman" panose="02020603050405020304" charset="0"/>
          </a:endParaRPr>
        </a:p>
      </dsp:txBody>
      <dsp:txXfrm>
        <a:off x="0" y="1847288"/>
        <a:ext cx="4926330" cy="428400"/>
      </dsp:txXfrm>
    </dsp:sp>
    <dsp:sp modelId="{5E5D95D0-E835-402C-92B1-F9978FF3C0B9}">
      <dsp:nvSpPr>
        <dsp:cNvPr id="10" name="圆角矩形 9"/>
        <dsp:cNvSpPr/>
      </dsp:nvSpPr>
      <dsp:spPr bwMode="white">
        <a:xfrm>
          <a:off x="246317" y="1596368"/>
          <a:ext cx="3448431" cy="501840"/>
        </a:xfrm>
        <a:prstGeom prst="roundRect">
          <a:avLst/>
        </a:prstGeom>
      </dsp:spPr>
      <dsp:style>
        <a:lnRef idx="2">
          <a:schemeClr val="accent5">
            <a:shade val="80000"/>
          </a:schemeClr>
        </a:lnRef>
        <a:fillRef idx="1">
          <a:schemeClr val="lt1"/>
        </a:fillRef>
        <a:effectRef idx="0">
          <a:scrgbClr r="0" g="0" b="0"/>
        </a:effectRef>
        <a:fontRef idx="minor">
          <a:schemeClr val="lt1"/>
        </a:fontRef>
      </dsp:style>
      <dsp:txBody>
        <a:bodyPr vert="horz" wrap="square" lIns="130342" tIns="0" rIns="130342" bIns="0" anchor="ctr"/>
        <a:lstStyle>
          <a:lvl1pPr algn="l">
            <a:defRPr sz="17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lvl="0">
            <a:lnSpc>
              <a:spcPct val="100000"/>
            </a:lnSpc>
            <a:spcBef>
              <a:spcPct val="0"/>
            </a:spcBef>
            <a:spcAft>
              <a:spcPct val="35000"/>
            </a:spcAft>
          </a:pPr>
          <a:r>
            <a:rPr lang="zh-CN" altLang="en-US" sz="1200" b="0" i="0" dirty="0">
              <a:solidFill>
                <a:schemeClr val="dk1"/>
              </a:solidFill>
              <a:latin typeface="宋体" panose="02010600030101010101" charset="-122"/>
              <a:ea typeface="宋体" panose="02010600030101010101" charset="-122"/>
              <a:cs typeface="宋体" panose="02010600030101010101" charset="-122"/>
            </a:rPr>
            <a:t>行动三：严格执行对高排放、高污染行业的准入和限入政策，加强对贷款全流程管理</a:t>
          </a:r>
          <a:endParaRPr lang="zh-CN" altLang="en-US" sz="1200" dirty="0">
            <a:solidFill>
              <a:schemeClr val="dk1"/>
            </a:solidFill>
            <a:latin typeface="宋体" panose="02010600030101010101" charset="-122"/>
            <a:ea typeface="宋体" panose="02010600030101010101" charset="-122"/>
            <a:cs typeface="宋体" panose="02010600030101010101" charset="-122"/>
          </a:endParaRPr>
        </a:p>
      </dsp:txBody>
      <dsp:txXfrm>
        <a:off x="246317" y="1596368"/>
        <a:ext cx="3448431" cy="501840"/>
      </dsp:txXfrm>
    </dsp:sp>
    <dsp:sp modelId="{63512975-5E9E-4044-8CF2-98BA334F55CD}">
      <dsp:nvSpPr>
        <dsp:cNvPr id="3" name="矩形 2" hidden="1"/>
        <dsp:cNvSpPr/>
      </dsp:nvSpPr>
      <dsp:spPr>
        <a:xfrm>
          <a:off x="0" y="54128"/>
          <a:ext cx="246317" cy="501840"/>
        </a:xfrm>
        <a:prstGeom prst="rect">
          <a:avLst/>
        </a:prstGeom>
      </dsp:spPr>
      <dsp:txXfrm>
        <a:off x="0" y="54128"/>
        <a:ext cx="246317" cy="501840"/>
      </dsp:txXfrm>
    </dsp:sp>
    <dsp:sp modelId="{43C48E53-59E4-4754-BEDC-EAB93E62DB92}">
      <dsp:nvSpPr>
        <dsp:cNvPr id="6" name="矩形 5" hidden="1"/>
        <dsp:cNvSpPr/>
      </dsp:nvSpPr>
      <dsp:spPr>
        <a:xfrm>
          <a:off x="0" y="825248"/>
          <a:ext cx="246317" cy="501840"/>
        </a:xfrm>
        <a:prstGeom prst="rect">
          <a:avLst/>
        </a:prstGeom>
      </dsp:spPr>
      <dsp:txXfrm>
        <a:off x="0" y="825248"/>
        <a:ext cx="246317" cy="501840"/>
      </dsp:txXfrm>
    </dsp:sp>
    <dsp:sp modelId="{06EE8710-1837-49CB-858D-5C6517FEEBAB}">
      <dsp:nvSpPr>
        <dsp:cNvPr id="9" name="矩形 8" hidden="1"/>
        <dsp:cNvSpPr/>
      </dsp:nvSpPr>
      <dsp:spPr>
        <a:xfrm>
          <a:off x="0" y="1596368"/>
          <a:ext cx="246317" cy="501840"/>
        </a:xfrm>
        <a:prstGeom prst="rect">
          <a:avLst/>
        </a:prstGeom>
      </dsp:spPr>
      <dsp:txXfrm>
        <a:off x="0" y="1596368"/>
        <a:ext cx="246317" cy="501840"/>
      </dsp:txXfrm>
    </dsp:sp>
  </dsp:spTree>
</dsp:drawing>
</file>

<file path=word/diagrams/layout1.xml><?xml version="1.0" encoding="utf-8"?>
<dgm:layoutDef xmlns:dgm="http://schemas.openxmlformats.org/drawingml/2006/diagram" xmlns:a="http://schemas.openxmlformats.org/drawingml/2006/main" uniqueId="urn:microsoft.com/office/officeart/2005/8/layout/list1#2">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rSet qsTypeId="urn:microsoft.com/office/officeart/2005/8/quickstyle/simple5"/>
        </dgm:pt>
        <dgm:pt modelId="1"/>
        <dgm:pt modelId="2"/>
      </dgm:ptLst>
      <dgm:cxnLst>
        <dgm:cxn modelId="4" srcId="0" destId="1" srcOrd="0" destOrd="0"/>
        <dgm:cxn modelId="5" srcId="0" destId="2" srcOrd="1" destOrd="0"/>
      </dgm:cxnLst>
      <dgm:bg/>
      <dgm:whole/>
    </dgm:dataModel>
  </dgm:styleData>
  <dgm:clrData>
    <dgm:dataModel>
      <dgm:ptLst>
        <dgm:pt modelId="0" type="doc">
          <dgm:prSet csTypeId="urn:microsoft.com/office/officeart/2005/8/colors/accent6_5"/>
        </dgm:pt>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66F40-BEEF-4C1E-A3FF-F297BB5ADC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3060</Words>
  <Characters>17447</Characters>
  <Lines>145</Lines>
  <Paragraphs>40</Paragraphs>
  <TotalTime>34</TotalTime>
  <ScaleCrop>false</ScaleCrop>
  <LinksUpToDate>false</LinksUpToDate>
  <CharactersWithSpaces>20467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2023-02-10T13:22:00Z</dcterms:created>
  <dc:creator>Ouyang Ying</dc:creator>
  <cp:lastModifiedBy>Administrator</cp:lastModifiedBy>
  <cp:lastPrinted>2023-05-08T16:22:00Z</cp:lastPrinted>
  <dcterms:modified xsi:type="dcterms:W3CDTF">2023-09-04T03:06:07Z</dcterms:modified>
  <cp:revision>515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B606A9AFDB354E7AB2A6219D4A8B15B3</vt:lpwstr>
  </property>
</Properties>
</file>